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BBD" w:rsidRDefault="00300BBD" w:rsidP="00300BBD">
      <w:pPr>
        <w:spacing w:after="200" w:line="276" w:lineRule="auto"/>
        <w:ind w:left="4974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300BBD"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</w:p>
    <w:p w:rsidR="00300BBD" w:rsidRDefault="00300BBD" w:rsidP="00300BBD">
      <w:pPr>
        <w:spacing w:after="200" w:line="276" w:lineRule="auto"/>
        <w:ind w:left="4974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300BBD" w:rsidRPr="00300BBD" w:rsidRDefault="00300BBD" w:rsidP="00300BBD">
      <w:pPr>
        <w:spacing w:after="0" w:line="276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300BBD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1823306</wp:posOffset>
            </wp:positionH>
            <wp:positionV relativeFrom="margin">
              <wp:posOffset>637540</wp:posOffset>
            </wp:positionV>
            <wp:extent cx="2218055" cy="2612390"/>
            <wp:effectExtent l="0" t="0" r="0" b="0"/>
            <wp:wrapSquare wrapText="bothSides"/>
            <wp:docPr id="1" name="Obraz 1" descr="herb Powiatu_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_l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300BBD">
        <w:rPr>
          <w:rFonts w:ascii="Calibri" w:eastAsia="Calibri" w:hAnsi="Calibri" w:cs="Times New Roman"/>
          <w:b/>
          <w:sz w:val="24"/>
          <w:szCs w:val="24"/>
        </w:rPr>
        <w:tab/>
      </w:r>
      <w:r w:rsidRPr="00300BBD">
        <w:rPr>
          <w:rFonts w:ascii="Calibri" w:eastAsia="Calibri" w:hAnsi="Calibri" w:cs="Times New Roman"/>
          <w:b/>
          <w:sz w:val="24"/>
          <w:szCs w:val="24"/>
        </w:rPr>
        <w:tab/>
      </w:r>
      <w:r w:rsidRPr="00300BBD">
        <w:rPr>
          <w:rFonts w:ascii="Calibri" w:eastAsia="Calibri" w:hAnsi="Calibri" w:cs="Times New Roman"/>
          <w:b/>
          <w:sz w:val="24"/>
          <w:szCs w:val="24"/>
        </w:rPr>
        <w:tab/>
      </w: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300BBD">
        <w:rPr>
          <w:rFonts w:ascii="Calibri" w:eastAsia="Calibri" w:hAnsi="Calibri" w:cs="Times New Roman"/>
          <w:b/>
          <w:sz w:val="24"/>
          <w:szCs w:val="24"/>
        </w:rPr>
        <w:t xml:space="preserve">            </w:t>
      </w: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jc w:val="center"/>
        <w:rPr>
          <w:rFonts w:ascii="Baskerville Old Face" w:eastAsia="Calibri" w:hAnsi="Baskerville Old Face" w:cs="Times New Roman"/>
          <w:bCs/>
          <w:sz w:val="36"/>
          <w:szCs w:val="48"/>
        </w:rPr>
      </w:pPr>
      <w:r w:rsidRPr="00300BBD">
        <w:rPr>
          <w:rFonts w:ascii="Baskerville Old Face" w:eastAsia="Calibri" w:hAnsi="Baskerville Old Face" w:cs="Times New Roman"/>
          <w:b/>
          <w:bCs/>
          <w:sz w:val="48"/>
          <w:szCs w:val="48"/>
        </w:rPr>
        <w:t xml:space="preserve">Raport z realizacji </w:t>
      </w:r>
      <w:r>
        <w:rPr>
          <w:rFonts w:ascii="Baskerville Old Face" w:eastAsia="Calibri" w:hAnsi="Baskerville Old Face" w:cs="Times New Roman"/>
          <w:b/>
          <w:bCs/>
          <w:sz w:val="48"/>
          <w:szCs w:val="48"/>
        </w:rPr>
        <w:br/>
      </w:r>
      <w:r w:rsidRPr="00300BBD">
        <w:rPr>
          <w:rFonts w:ascii="Baskerville Old Face" w:eastAsia="Calibri" w:hAnsi="Baskerville Old Face" w:cs="Times New Roman"/>
          <w:bCs/>
          <w:sz w:val="36"/>
          <w:szCs w:val="48"/>
        </w:rPr>
        <w:t>STRATEGII ROZWOJU</w:t>
      </w:r>
    </w:p>
    <w:p w:rsidR="00300BBD" w:rsidRPr="00300BBD" w:rsidRDefault="00300BBD" w:rsidP="00300BBD">
      <w:pPr>
        <w:spacing w:after="0" w:line="276" w:lineRule="auto"/>
        <w:jc w:val="center"/>
        <w:rPr>
          <w:rFonts w:ascii="Baskerville Old Face" w:eastAsia="Calibri" w:hAnsi="Baskerville Old Face" w:cs="Times New Roman"/>
          <w:sz w:val="36"/>
          <w:szCs w:val="48"/>
        </w:rPr>
      </w:pPr>
      <w:r w:rsidRPr="00300BBD">
        <w:rPr>
          <w:rFonts w:ascii="Baskerville Old Face" w:eastAsia="Calibri" w:hAnsi="Baskerville Old Face" w:cs="Times New Roman"/>
          <w:bCs/>
          <w:sz w:val="36"/>
          <w:szCs w:val="48"/>
        </w:rPr>
        <w:t>POWIATU WO</w:t>
      </w:r>
      <w:r w:rsidRPr="00300BBD">
        <w:rPr>
          <w:rFonts w:ascii="Times New Roman" w:eastAsia="Calibri" w:hAnsi="Times New Roman" w:cs="Times New Roman"/>
          <w:bCs/>
          <w:sz w:val="36"/>
          <w:szCs w:val="48"/>
        </w:rPr>
        <w:t>Ł</w:t>
      </w:r>
      <w:r w:rsidRPr="00300BBD">
        <w:rPr>
          <w:rFonts w:ascii="Baskerville Old Face" w:eastAsia="Calibri" w:hAnsi="Baskerville Old Face" w:cs="Times New Roman"/>
          <w:bCs/>
          <w:sz w:val="36"/>
          <w:szCs w:val="48"/>
        </w:rPr>
        <w:t>OMI</w:t>
      </w:r>
      <w:r w:rsidRPr="00300BBD">
        <w:rPr>
          <w:rFonts w:ascii="Times New Roman" w:eastAsia="Calibri" w:hAnsi="Times New Roman" w:cs="Times New Roman"/>
          <w:bCs/>
          <w:sz w:val="36"/>
          <w:szCs w:val="48"/>
        </w:rPr>
        <w:t>Ń</w:t>
      </w:r>
      <w:r w:rsidRPr="00300BBD">
        <w:rPr>
          <w:rFonts w:ascii="Baskerville Old Face" w:eastAsia="Calibri" w:hAnsi="Baskerville Old Face" w:cs="Times New Roman"/>
          <w:bCs/>
          <w:sz w:val="36"/>
          <w:szCs w:val="48"/>
        </w:rPr>
        <w:t>SKIEGO</w:t>
      </w:r>
    </w:p>
    <w:p w:rsidR="00300BBD" w:rsidRPr="00300BBD" w:rsidRDefault="00300BBD" w:rsidP="00300BBD">
      <w:pPr>
        <w:spacing w:after="0" w:line="276" w:lineRule="auto"/>
        <w:jc w:val="center"/>
        <w:rPr>
          <w:rFonts w:ascii="Baskerville Old Face" w:eastAsia="Calibri" w:hAnsi="Baskerville Old Face" w:cs="Times New Roman"/>
          <w:bCs/>
          <w:sz w:val="36"/>
          <w:szCs w:val="48"/>
        </w:rPr>
      </w:pPr>
      <w:r w:rsidRPr="00300BBD">
        <w:rPr>
          <w:rFonts w:ascii="Baskerville Old Face" w:eastAsia="Calibri" w:hAnsi="Baskerville Old Face" w:cs="Times New Roman"/>
          <w:bCs/>
          <w:sz w:val="36"/>
          <w:szCs w:val="48"/>
        </w:rPr>
        <w:t>DO 2025 ROKU</w:t>
      </w:r>
    </w:p>
    <w:p w:rsidR="00300BBD" w:rsidRPr="00300BBD" w:rsidRDefault="00300BBD" w:rsidP="00300BBD">
      <w:pPr>
        <w:spacing w:after="0" w:line="276" w:lineRule="auto"/>
        <w:jc w:val="center"/>
        <w:rPr>
          <w:rFonts w:ascii="Baskerville Old Face" w:eastAsia="Calibri" w:hAnsi="Baskerville Old Face" w:cs="Times New Roman"/>
          <w:b/>
          <w:sz w:val="48"/>
          <w:szCs w:val="48"/>
        </w:rPr>
      </w:pPr>
      <w:r>
        <w:rPr>
          <w:rFonts w:ascii="Baskerville Old Face" w:eastAsia="Calibri" w:hAnsi="Baskerville Old Face" w:cs="Times New Roman"/>
          <w:b/>
          <w:sz w:val="48"/>
          <w:szCs w:val="48"/>
        </w:rPr>
        <w:t>za lata 2016 – 2017</w:t>
      </w: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00BBD" w:rsidRPr="00300BBD" w:rsidRDefault="00300BBD" w:rsidP="00300BB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6CAC" w:rsidRPr="00300BBD" w:rsidRDefault="00300BBD" w:rsidP="00300BBD">
      <w:pPr>
        <w:spacing w:after="0" w:line="276" w:lineRule="auto"/>
        <w:jc w:val="center"/>
        <w:rPr>
          <w:rFonts w:ascii="Garamond" w:hAnsi="Garamond"/>
          <w:b/>
          <w:bCs/>
          <w:color w:val="000000" w:themeColor="text1"/>
          <w:sz w:val="28"/>
          <w:szCs w:val="24"/>
        </w:rPr>
      </w:pPr>
      <w:r w:rsidRPr="00300BBD">
        <w:rPr>
          <w:rFonts w:ascii="Garamond" w:eastAsia="Calibri" w:hAnsi="Garamond" w:cs="Times New Roman"/>
          <w:b/>
          <w:sz w:val="32"/>
          <w:szCs w:val="32"/>
        </w:rPr>
        <w:t>Wołomin 2018</w:t>
      </w:r>
      <w:r w:rsidR="00226CAC" w:rsidRPr="00300BBD">
        <w:rPr>
          <w:rFonts w:ascii="Garamond" w:hAnsi="Garamond"/>
          <w:b/>
          <w:bCs/>
          <w:color w:val="000000" w:themeColor="text1"/>
          <w:sz w:val="28"/>
          <w:szCs w:val="24"/>
        </w:rPr>
        <w:br w:type="page"/>
      </w:r>
    </w:p>
    <w:p w:rsidR="00827B54" w:rsidRPr="007119A5" w:rsidRDefault="00827B54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lastRenderedPageBreak/>
        <w:t>WSTĘP</w:t>
      </w:r>
    </w:p>
    <w:p w:rsidR="00827B54" w:rsidRPr="007119A5" w:rsidRDefault="00827B54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7119A5">
        <w:rPr>
          <w:rFonts w:ascii="Garamond" w:hAnsi="Garamond"/>
          <w:bCs/>
          <w:color w:val="000000" w:themeColor="text1"/>
          <w:sz w:val="24"/>
          <w:szCs w:val="24"/>
        </w:rPr>
        <w:t>Strategia Rozwoju Powiatu Wołomińskiego do 2025 roku, została przyjęta Uchwałą Nr XV – 162/2016 Rady Powiatu Wołomińskiego w dniu 11.01.2016 r.</w:t>
      </w:r>
    </w:p>
    <w:p w:rsidR="00827B54" w:rsidRDefault="00827B54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7119A5">
        <w:rPr>
          <w:rFonts w:ascii="Garamond" w:hAnsi="Garamond"/>
          <w:bCs/>
          <w:color w:val="000000" w:themeColor="text1"/>
          <w:sz w:val="24"/>
          <w:szCs w:val="24"/>
        </w:rPr>
        <w:t>Precyzuje wizję i misję Powiatu Wołomińskiego:</w:t>
      </w:r>
    </w:p>
    <w:p w:rsidR="00EE10EB" w:rsidRPr="007119A5" w:rsidRDefault="00EE10EB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</w:p>
    <w:p w:rsidR="00827B54" w:rsidRPr="00EE10EB" w:rsidRDefault="00827B54" w:rsidP="00EE10EB">
      <w:pPr>
        <w:spacing w:after="120" w:line="276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</w:pPr>
      <w:r w:rsidRPr="00EE10EB"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>Wizja:</w:t>
      </w:r>
    </w:p>
    <w:p w:rsidR="00827B54" w:rsidRDefault="00827B54" w:rsidP="00EE10EB">
      <w:pPr>
        <w:spacing w:after="120" w:line="276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EE10EB">
        <w:rPr>
          <w:rFonts w:ascii="Garamond" w:hAnsi="Garamond"/>
          <w:b/>
          <w:bCs/>
          <w:color w:val="000000" w:themeColor="text1"/>
          <w:sz w:val="24"/>
          <w:szCs w:val="24"/>
        </w:rPr>
        <w:t>Powiat Wołomiński – zielona równina, bogata przyrodą, historią i kulturą, przyjazna mieszkańcom i przedsiębiorcom.</w:t>
      </w:r>
    </w:p>
    <w:p w:rsidR="00EE10EB" w:rsidRPr="00EE10EB" w:rsidRDefault="00EE10EB" w:rsidP="00EE10EB">
      <w:pPr>
        <w:spacing w:after="120" w:line="276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:rsidR="00827B54" w:rsidRPr="00EE10EB" w:rsidRDefault="00827B54" w:rsidP="00EE10EB">
      <w:pPr>
        <w:spacing w:after="120" w:line="276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</w:pPr>
      <w:r w:rsidRPr="00EE10EB"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>Misja:</w:t>
      </w:r>
    </w:p>
    <w:p w:rsidR="00827B54" w:rsidRDefault="00827B54" w:rsidP="00EE10EB">
      <w:pPr>
        <w:spacing w:after="120" w:line="276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EE10E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Powiat Wołomiński, silny potencjałem tworzących go gmin, wspiera zrównoważony rozwój gospodarczy, społeczny i przestrzenny. Wykorzystując naturalne walory przyrodnicze, historyczne oraz kulturowe </w:t>
      </w:r>
      <w:r w:rsidR="00C02314" w:rsidRPr="00EE10EB">
        <w:rPr>
          <w:rFonts w:ascii="Garamond" w:hAnsi="Garamond"/>
          <w:b/>
          <w:bCs/>
          <w:color w:val="000000" w:themeColor="text1"/>
          <w:sz w:val="24"/>
          <w:szCs w:val="24"/>
        </w:rPr>
        <w:t>d</w:t>
      </w:r>
      <w:r w:rsidRPr="00EE10EB">
        <w:rPr>
          <w:rFonts w:ascii="Garamond" w:hAnsi="Garamond"/>
          <w:b/>
          <w:bCs/>
          <w:color w:val="000000" w:themeColor="text1"/>
          <w:sz w:val="24"/>
          <w:szCs w:val="24"/>
        </w:rPr>
        <w:t>ba o rozwój turystyki.</w:t>
      </w:r>
    </w:p>
    <w:p w:rsidR="00EE10EB" w:rsidRPr="00EE10EB" w:rsidRDefault="00EE10EB" w:rsidP="00EE10EB">
      <w:pPr>
        <w:spacing w:after="120" w:line="276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:rsidR="00827B54" w:rsidRPr="007119A5" w:rsidRDefault="00827B54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Z przyjętej wizji wynikają cztery cele strategiczne, będące względem siebie równoważne, komplementarne i spójne. </w:t>
      </w:r>
    </w:p>
    <w:p w:rsidR="00827B54" w:rsidRPr="007119A5" w:rsidRDefault="00827B54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EE10EB">
        <w:rPr>
          <w:rFonts w:ascii="Garamond" w:hAnsi="Garamond"/>
          <w:b/>
          <w:color w:val="000000" w:themeColor="text1"/>
          <w:sz w:val="24"/>
          <w:szCs w:val="24"/>
        </w:rPr>
        <w:t>Cel strategiczny 1: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119A5">
        <w:rPr>
          <w:rFonts w:ascii="Garamond" w:hAnsi="Garamond"/>
          <w:bCs/>
          <w:color w:val="000000" w:themeColor="text1"/>
          <w:sz w:val="24"/>
          <w:szCs w:val="24"/>
        </w:rPr>
        <w:t>WZMACNIANIE INNOWACYJNOŚCI I KONKURENCYJNOŚCI GOSPODARCZEJ POWIATU WOŁOMIŃSKIEGO</w:t>
      </w:r>
    </w:p>
    <w:p w:rsidR="00827B54" w:rsidRPr="007119A5" w:rsidRDefault="00827B54" w:rsidP="00EE10EB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10EB">
        <w:rPr>
          <w:rFonts w:ascii="Garamond" w:hAnsi="Garamond"/>
          <w:b/>
          <w:color w:val="000000" w:themeColor="text1"/>
          <w:sz w:val="24"/>
          <w:szCs w:val="24"/>
        </w:rPr>
        <w:t>Cel strategiczny 2: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 AKTYWIZACJA SPOŁECZNA I OBYWATELSKA MIESZKAŃCÓW POWIATU WOŁOMIŃSKIEGO</w:t>
      </w:r>
    </w:p>
    <w:p w:rsidR="00827B54" w:rsidRPr="007119A5" w:rsidRDefault="00827B54" w:rsidP="00EE10EB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10EB">
        <w:rPr>
          <w:rFonts w:ascii="Garamond" w:hAnsi="Garamond"/>
          <w:b/>
          <w:color w:val="000000" w:themeColor="text1"/>
          <w:sz w:val="24"/>
          <w:szCs w:val="24"/>
        </w:rPr>
        <w:t>Cel strategiczny 3: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 ROZWÓJ INFRASTRUKTURY SPOŁECZNEJ I TECHNICZNEJ </w:t>
      </w:r>
      <w:r w:rsidR="00EE10EB">
        <w:rPr>
          <w:rFonts w:ascii="Garamond" w:hAnsi="Garamond"/>
          <w:color w:val="000000" w:themeColor="text1"/>
          <w:sz w:val="24"/>
          <w:szCs w:val="24"/>
        </w:rPr>
        <w:br/>
      </w:r>
      <w:r w:rsidRPr="007119A5">
        <w:rPr>
          <w:rFonts w:ascii="Garamond" w:hAnsi="Garamond"/>
          <w:color w:val="000000" w:themeColor="text1"/>
          <w:sz w:val="24"/>
          <w:szCs w:val="24"/>
        </w:rPr>
        <w:t>W POWIECIE</w:t>
      </w:r>
    </w:p>
    <w:p w:rsidR="00827B54" w:rsidRPr="007119A5" w:rsidRDefault="00827B54" w:rsidP="00EE10EB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10EB">
        <w:rPr>
          <w:rFonts w:ascii="Garamond" w:hAnsi="Garamond"/>
          <w:b/>
          <w:color w:val="000000" w:themeColor="text1"/>
          <w:sz w:val="24"/>
          <w:szCs w:val="24"/>
        </w:rPr>
        <w:t>Cel strategiczny 4: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 TWORZENIE WARUNKÓW DLA ZRÓWNOWAŻONEGO ROZWOJU FUNKCJI TURYSTYCZNEJ POWIATU WOŁOMIŃSKIEGO</w:t>
      </w:r>
    </w:p>
    <w:p w:rsidR="00827B54" w:rsidRDefault="0036091B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7119A5">
        <w:rPr>
          <w:rFonts w:ascii="Garamond" w:hAnsi="Garamond"/>
          <w:bCs/>
          <w:color w:val="000000" w:themeColor="text1"/>
          <w:sz w:val="24"/>
          <w:szCs w:val="24"/>
        </w:rPr>
        <w:t>Realizacji celów służą sprecyzowane kierunki rozwoju. Pozwalają one określić i wyodrębnić wskaźniki w poszczególnych zakresach funkcjonowania szeroko rozumianego powiatu, obejmujących działania instytucjonalne, prywatne i gospodarcze w sferach: samorządowych, gospodarczych i społecznych.</w:t>
      </w:r>
    </w:p>
    <w:p w:rsidR="008E0BBD" w:rsidRPr="007119A5" w:rsidRDefault="008E0BBD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>Dane zawarte w raporcie pochodzą z jednostek realizujących lub współrealizujących Strategię, które są wymienione w matrycy logicznej stanowiącej załącznik nr 1 do Procedury monitorowania Strategii Rozwoju Powiatu Wołomiń</w:t>
      </w:r>
      <w:r w:rsidR="004646F6">
        <w:rPr>
          <w:rFonts w:ascii="Garamond" w:hAnsi="Garamond"/>
          <w:bCs/>
          <w:color w:val="000000" w:themeColor="text1"/>
          <w:sz w:val="24"/>
          <w:szCs w:val="24"/>
        </w:rPr>
        <w:t>skiego do 2025 roku (Zarządzenie nr 270.2016 Starosty Wołomińskiego z dnia 22.12.2016 r.).</w:t>
      </w:r>
      <w:r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</w:p>
    <w:p w:rsidR="0036091B" w:rsidRPr="007119A5" w:rsidRDefault="0036091B" w:rsidP="00EE10EB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Poniższy raport jest pierwszym badającym realizację wskaźników przyjętych dla Strategii, ujętych w Matrycy logicznej. Wskazuje zmiany, jakie nastąpiły na obszarze Powiatu Wołomińskiego </w:t>
      </w:r>
      <w:r w:rsidR="00EE10EB">
        <w:rPr>
          <w:rFonts w:ascii="Garamond" w:hAnsi="Garamond"/>
          <w:bCs/>
          <w:color w:val="000000" w:themeColor="text1"/>
          <w:sz w:val="24"/>
          <w:szCs w:val="24"/>
        </w:rPr>
        <w:br/>
      </w:r>
      <w:r w:rsidRPr="007119A5">
        <w:rPr>
          <w:rFonts w:ascii="Garamond" w:hAnsi="Garamond"/>
          <w:bCs/>
          <w:color w:val="000000" w:themeColor="text1"/>
          <w:sz w:val="24"/>
          <w:szCs w:val="24"/>
        </w:rPr>
        <w:t>w latach 2016 i 2017. Będzie stanowił materiał do analiz porównawczych dla raportów przygotowywanych w latach następnych.</w:t>
      </w:r>
    </w:p>
    <w:p w:rsidR="0036091B" w:rsidRPr="007119A5" w:rsidRDefault="0036091B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  <w:sectPr w:rsidR="0036091B" w:rsidRPr="007119A5" w:rsidSect="00300BBD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40CAC" w:rsidRPr="007119A5" w:rsidRDefault="0036091B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lastRenderedPageBreak/>
        <w:t>C</w:t>
      </w:r>
      <w:r w:rsidR="00C73EBF"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el strategiczny 1: </w:t>
      </w:r>
      <w:r w:rsidR="00C73EBF"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t>WZMACNIANIE INNOWACYJNOŚCI I KONKURENCYJNOŚCI GOSPODARCZEJ POWIATU WOŁOMIŃSKIEGO</w:t>
      </w:r>
    </w:p>
    <w:p w:rsidR="003D1F15" w:rsidRPr="007119A5" w:rsidRDefault="003D1F15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</w:pPr>
    </w:p>
    <w:p w:rsidR="00C73EBF" w:rsidRPr="007119A5" w:rsidRDefault="00C73EBF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Kierunek rozwoju 1: </w:t>
      </w: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  <w:t>Kształtowanie warunków rozwoju kapitału ludzkiego</w:t>
      </w:r>
    </w:p>
    <w:p w:rsidR="00C73EBF" w:rsidRPr="007119A5" w:rsidRDefault="009C1000" w:rsidP="00D926B9">
      <w:pPr>
        <w:spacing w:after="120" w:line="276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1.1.1. </w:t>
      </w:r>
      <w:r w:rsidR="00C73EBF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Stosunek liczby absolwentów szkół ponadgimnazjalnych z kierunków technicznych do liczby kończących kierunki humanistyczne (%)</w:t>
      </w:r>
    </w:p>
    <w:p w:rsidR="002A332B" w:rsidRPr="007119A5" w:rsidRDefault="002A332B" w:rsidP="00D926B9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Wskaźnik zależy od polityki edukacyjnej Powiatu. Ustalania liczby miejsc w szkołach o danych profilach</w:t>
      </w:r>
      <w:r w:rsidR="00FA158C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 odpowiedzi na zainteresowanie kierunkami kształcenia zgłaszanymi przez kandydatów do szkół.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40393" w:rsidRPr="007119A5" w:rsidRDefault="002A332B" w:rsidP="00D926B9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Nie obrazuj</w:t>
      </w:r>
      <w:r w:rsidR="00740393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e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pełnej sytuacji edukacyjnej i kształcenia młodzieży z terenu powiatu na poziomie ponadpodstawowym, ponieważ jest duża trudność uzyskania bezpośrednich danych dotyczących kierunków kształcenia wybranych </w:t>
      </w:r>
      <w:r w:rsidR="009D4A2D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przez młodzież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 szkołach znajdujących się poza terenem powiatu.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2"/>
        <w:gridCol w:w="1428"/>
        <w:gridCol w:w="1428"/>
        <w:gridCol w:w="1806"/>
        <w:gridCol w:w="1449"/>
        <w:gridCol w:w="1449"/>
      </w:tblGrid>
      <w:tr w:rsidR="00FA158C" w:rsidRPr="00A04441" w:rsidTr="00FA158C">
        <w:tc>
          <w:tcPr>
            <w:tcW w:w="1507" w:type="dxa"/>
          </w:tcPr>
          <w:p w:rsidR="00740393" w:rsidRPr="00A04441" w:rsidRDefault="00740393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:rsidR="00740393" w:rsidRPr="00A04441" w:rsidRDefault="00740393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4441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83" w:type="dxa"/>
          </w:tcPr>
          <w:p w:rsidR="00740393" w:rsidRPr="00A04441" w:rsidRDefault="00740393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4441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606" w:type="dxa"/>
          </w:tcPr>
          <w:p w:rsidR="00740393" w:rsidRPr="00750D7A" w:rsidRDefault="00740393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492" w:type="dxa"/>
          </w:tcPr>
          <w:p w:rsidR="00740393" w:rsidRPr="00A04441" w:rsidRDefault="00740393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4441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92" w:type="dxa"/>
          </w:tcPr>
          <w:p w:rsidR="00740393" w:rsidRPr="00A04441" w:rsidRDefault="00740393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4441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313A42" w:rsidRPr="007119A5" w:rsidTr="00FA158C">
        <w:tc>
          <w:tcPr>
            <w:tcW w:w="1507" w:type="dxa"/>
          </w:tcPr>
          <w:p w:rsidR="00313A42" w:rsidRPr="007119A5" w:rsidRDefault="00313A42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Liczba absolwentów LO</w:t>
            </w:r>
          </w:p>
        </w:tc>
        <w:tc>
          <w:tcPr>
            <w:tcW w:w="1482" w:type="dxa"/>
          </w:tcPr>
          <w:p w:rsidR="00313A42" w:rsidRPr="007119A5" w:rsidRDefault="00313A42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1483" w:type="dxa"/>
          </w:tcPr>
          <w:p w:rsidR="00313A42" w:rsidRPr="007119A5" w:rsidRDefault="00313A42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1606" w:type="dxa"/>
            <w:vMerge w:val="restart"/>
          </w:tcPr>
          <w:p w:rsidR="00313A42" w:rsidRPr="00750D7A" w:rsidRDefault="00750D7A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750D7A">
              <w:rPr>
                <w:rFonts w:ascii="Garamond" w:eastAsia="Times New Roman" w:hAnsi="Garamond" w:cs="Times New Roman"/>
                <w:bCs/>
                <w:color w:val="000000" w:themeColor="text1"/>
                <w:sz w:val="20"/>
                <w:szCs w:val="24"/>
                <w:lang w:eastAsia="pl-PL"/>
              </w:rPr>
              <w:t>Stosunek liczby absolwentów szkół ponadgimnazjalnych z kierunków technicznych do liczby kończących kierunki humanistyczne</w:t>
            </w:r>
          </w:p>
        </w:tc>
        <w:tc>
          <w:tcPr>
            <w:tcW w:w="1492" w:type="dxa"/>
            <w:vMerge w:val="restart"/>
          </w:tcPr>
          <w:p w:rsidR="00313A42" w:rsidRDefault="00313A42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50D7A" w:rsidRDefault="00750D7A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50D7A" w:rsidRPr="007119A5" w:rsidRDefault="00750D7A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141,47 %</w:t>
            </w:r>
          </w:p>
        </w:tc>
        <w:tc>
          <w:tcPr>
            <w:tcW w:w="1492" w:type="dxa"/>
            <w:vMerge w:val="restart"/>
          </w:tcPr>
          <w:p w:rsidR="00313A42" w:rsidRDefault="00313A42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50D7A" w:rsidRDefault="00750D7A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50D7A" w:rsidRPr="007119A5" w:rsidRDefault="00750D7A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152,97 %</w:t>
            </w:r>
          </w:p>
        </w:tc>
      </w:tr>
      <w:tr w:rsidR="00313A42" w:rsidRPr="007119A5" w:rsidTr="00FA158C">
        <w:tc>
          <w:tcPr>
            <w:tcW w:w="1507" w:type="dxa"/>
          </w:tcPr>
          <w:p w:rsidR="00313A42" w:rsidRPr="007119A5" w:rsidRDefault="00313A42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Liczba absolwentów techników</w:t>
            </w:r>
          </w:p>
        </w:tc>
        <w:tc>
          <w:tcPr>
            <w:tcW w:w="1482" w:type="dxa"/>
          </w:tcPr>
          <w:p w:rsidR="00313A42" w:rsidRPr="007119A5" w:rsidRDefault="00313A42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1483" w:type="dxa"/>
          </w:tcPr>
          <w:p w:rsidR="00313A42" w:rsidRPr="007119A5" w:rsidRDefault="00313A42" w:rsidP="00A04CFC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606" w:type="dxa"/>
            <w:vMerge/>
          </w:tcPr>
          <w:p w:rsidR="00313A42" w:rsidRPr="00750D7A" w:rsidRDefault="00313A42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492" w:type="dxa"/>
            <w:vMerge/>
          </w:tcPr>
          <w:p w:rsidR="00313A42" w:rsidRPr="007119A5" w:rsidRDefault="00313A42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vMerge/>
          </w:tcPr>
          <w:p w:rsidR="00313A42" w:rsidRPr="007119A5" w:rsidRDefault="00313A42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740393" w:rsidRPr="007119A5" w:rsidRDefault="00FA158C" w:rsidP="00D926B9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Rynek pracy i edukacji przechodzi obecnie istotne przemiany. Obserwowany jest wzrost zainteresowania kształceniem zawodowym i technicznym, przy malejącym zainteresowaniu kształceniem ogólnym. Kształcenie ogólne też przybiera </w:t>
      </w:r>
      <w:r w:rsidR="00D926B9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obecnie formę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wyraźnego profilowania kierunkującego dalszą edukacj</w:t>
      </w:r>
      <w:r w:rsidR="00D926B9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ę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i drogę zawodową absolwenta. Trendy te są widoczne także </w:t>
      </w:r>
      <w:r w:rsidR="00034392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 szkołach powiatu wołomińskiego</w:t>
      </w:r>
      <w:r w:rsidR="00D926B9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gdzie obserwowane jest </w:t>
      </w:r>
      <w:r w:rsidR="00750D7A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stosunkowe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zmniejszenie liczby absolwentów szkół ogólnokształcących przy wzroście absolwentów techników.</w:t>
      </w:r>
    </w:p>
    <w:p w:rsidR="002A332B" w:rsidRPr="007119A5" w:rsidRDefault="002A332B" w:rsidP="006B4AE9">
      <w:pPr>
        <w:spacing w:after="120" w:line="276" w:lineRule="auto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C73EBF" w:rsidRPr="007119A5" w:rsidRDefault="009C1000" w:rsidP="00D926B9">
      <w:pPr>
        <w:spacing w:after="120" w:line="276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1.1.2. </w:t>
      </w:r>
      <w:r w:rsidR="00C73EBF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Liczba uczniów, którzy nabyli kompetencje kluczowe po opuszczeniu programu (szt.)</w:t>
      </w:r>
    </w:p>
    <w:p w:rsidR="002A332B" w:rsidRPr="007119A5" w:rsidRDefault="002A332B" w:rsidP="00D926B9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Kompetencje kluczowe obejmują</w:t>
      </w:r>
      <w:r w:rsidR="00675C45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następujące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umiejętności 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porozumiewanie się w języku ojczystym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porozumiewanie się w językach obcych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kompetencje matematyczne i podstawowe kompetencje naukowo-techniczne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kompetencje informatyczne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umiejętność uczenia się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kompetencje społeczne i obywatelskie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inicjatywność i przedsiębiorczość</w:t>
      </w:r>
    </w:p>
    <w:p w:rsidR="00675C45" w:rsidRPr="007119A5" w:rsidRDefault="00675C45" w:rsidP="00D926B9">
      <w:pPr>
        <w:pStyle w:val="rtejustify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lastRenderedPageBreak/>
        <w:t>świadomość i ekspresja kulturalna</w:t>
      </w:r>
    </w:p>
    <w:p w:rsidR="00675C45" w:rsidRPr="007119A5" w:rsidRDefault="00675C45" w:rsidP="00D926B9">
      <w:pPr>
        <w:pStyle w:val="rtejustify"/>
        <w:spacing w:before="0" w:beforeAutospacing="0" w:after="120" w:afterAutospacing="0" w:line="276" w:lineRule="auto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 xml:space="preserve">Kompetencja jest kombinacją wiedzy, umiejętności i przyjmowanej postawy. Kompetencje kluczowe to </w:t>
      </w:r>
      <w:r w:rsidR="00D926B9">
        <w:rPr>
          <w:rFonts w:ascii="Garamond" w:hAnsi="Garamond"/>
          <w:color w:val="000000" w:themeColor="text1"/>
        </w:rPr>
        <w:t>umiejętności</w:t>
      </w:r>
      <w:r w:rsidRPr="007119A5">
        <w:rPr>
          <w:rFonts w:ascii="Garamond" w:hAnsi="Garamond"/>
          <w:color w:val="000000" w:themeColor="text1"/>
        </w:rPr>
        <w:t>, które wspierają rozwój osobisty, włączanie w życie społeczne, aktywne obywatelstwo i możliwość znalezienia zatrudnienia. Proces kształtowania i rozwijania w sobie kompetencji kluczowych trwa przez całe życie i nigdy się nie kończy.</w:t>
      </w:r>
    </w:p>
    <w:p w:rsidR="00675C45" w:rsidRPr="007119A5" w:rsidRDefault="00675C45" w:rsidP="00D926B9">
      <w:pPr>
        <w:pStyle w:val="rtejustify"/>
        <w:spacing w:before="0" w:beforeAutospacing="0" w:after="120" w:afterAutospacing="0" w:line="276" w:lineRule="auto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 xml:space="preserve">Każdy etap edukacji ucznia zakończony pozytywnym wynikiem oznacza, że nabył także kompetencje kluczowe w stopniu odpowiadającym ocenie uzyskanej w końcowej klasyfikacji etapu edukacji. </w:t>
      </w:r>
      <w:r w:rsidRPr="007119A5">
        <w:rPr>
          <w:rFonts w:ascii="Garamond" w:hAnsi="Garamond"/>
          <w:b/>
          <w:color w:val="000000" w:themeColor="text1"/>
        </w:rPr>
        <w:t xml:space="preserve">Strategia nie wskazuje jakiego programu </w:t>
      </w:r>
      <w:r w:rsidRPr="007119A5">
        <w:rPr>
          <w:rFonts w:ascii="Garamond" w:hAnsi="Garamond"/>
          <w:color w:val="000000" w:themeColor="text1"/>
        </w:rPr>
        <w:t xml:space="preserve">dotyczy miernik, stąd problem </w:t>
      </w:r>
      <w:r w:rsidR="00D926B9">
        <w:rPr>
          <w:rFonts w:ascii="Garamond" w:hAnsi="Garamond"/>
          <w:color w:val="000000" w:themeColor="text1"/>
        </w:rPr>
        <w:br/>
      </w:r>
      <w:r w:rsidRPr="007119A5">
        <w:rPr>
          <w:rFonts w:ascii="Garamond" w:hAnsi="Garamond"/>
          <w:color w:val="000000" w:themeColor="text1"/>
        </w:rPr>
        <w:t>z interpretacją wskaźnika. Gminy podając liczbę absolwentów szkół</w:t>
      </w:r>
      <w:r w:rsidR="00D926B9">
        <w:rPr>
          <w:rFonts w:ascii="Garamond" w:hAnsi="Garamond"/>
          <w:color w:val="000000" w:themeColor="text1"/>
        </w:rPr>
        <w:t xml:space="preserve">, </w:t>
      </w:r>
      <w:r w:rsidRPr="007119A5">
        <w:rPr>
          <w:rFonts w:ascii="Garamond" w:hAnsi="Garamond"/>
          <w:color w:val="000000" w:themeColor="text1"/>
        </w:rPr>
        <w:t xml:space="preserve">mogły w większości odnieść się do liczby absolwentów szkół gimnazjalnych, </w:t>
      </w:r>
      <w:r w:rsidR="00D926B9">
        <w:rPr>
          <w:rFonts w:ascii="Garamond" w:hAnsi="Garamond"/>
          <w:color w:val="000000" w:themeColor="text1"/>
        </w:rPr>
        <w:t xml:space="preserve">natomiast </w:t>
      </w:r>
      <w:r w:rsidRPr="007119A5">
        <w:rPr>
          <w:rFonts w:ascii="Garamond" w:hAnsi="Garamond"/>
          <w:color w:val="000000" w:themeColor="text1"/>
        </w:rPr>
        <w:t xml:space="preserve">powiat do liczby absolwentów szkół ponadgimnazjalnych. </w:t>
      </w:r>
    </w:p>
    <w:p w:rsidR="00D926B9" w:rsidRDefault="00D926B9" w:rsidP="00D926B9">
      <w:pPr>
        <w:pStyle w:val="rtejustify"/>
        <w:spacing w:before="0" w:beforeAutospacing="0" w:after="120" w:afterAutospacing="0" w:line="276" w:lineRule="auto"/>
        <w:jc w:val="both"/>
        <w:rPr>
          <w:rFonts w:ascii="Garamond" w:hAnsi="Garamond"/>
          <w:color w:val="000000" w:themeColor="text1"/>
        </w:rPr>
      </w:pPr>
      <w:r w:rsidRPr="007119A5">
        <w:rPr>
          <w:rFonts w:ascii="Garamond" w:hAnsi="Garamond"/>
          <w:color w:val="000000" w:themeColor="text1"/>
        </w:rPr>
        <w:t>PPP w Zielonce udzieliła informacji tylko dla roku 2017,</w:t>
      </w:r>
      <w:r>
        <w:rPr>
          <w:rFonts w:ascii="Garamond" w:hAnsi="Garamond"/>
          <w:color w:val="000000" w:themeColor="text1"/>
        </w:rPr>
        <w:t xml:space="preserve"> dlatego też w tej grupie dane sumaryczne podano tylko dla roku 2017. </w:t>
      </w:r>
    </w:p>
    <w:p w:rsidR="00754D40" w:rsidRPr="007119A5" w:rsidRDefault="00D926B9" w:rsidP="00D926B9">
      <w:pPr>
        <w:pStyle w:val="rtejustify"/>
        <w:spacing w:before="0" w:beforeAutospacing="0" w:after="120" w:afterAutospacing="0"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</w:t>
      </w:r>
      <w:r w:rsidR="00754D40" w:rsidRPr="007119A5">
        <w:rPr>
          <w:rFonts w:ascii="Garamond" w:hAnsi="Garamond"/>
          <w:color w:val="000000" w:themeColor="text1"/>
        </w:rPr>
        <w:t xml:space="preserve">iczba dzieci biorących udział w zajęciach PPP obejmuje </w:t>
      </w:r>
      <w:r>
        <w:rPr>
          <w:rFonts w:ascii="Garamond" w:hAnsi="Garamond"/>
          <w:color w:val="000000" w:themeColor="text1"/>
        </w:rPr>
        <w:t xml:space="preserve">w większości </w:t>
      </w:r>
      <w:r w:rsidR="00754D40" w:rsidRPr="007119A5">
        <w:rPr>
          <w:rFonts w:ascii="Garamond" w:hAnsi="Garamond"/>
          <w:color w:val="000000" w:themeColor="text1"/>
        </w:rPr>
        <w:t xml:space="preserve">dzieci wliczane </w:t>
      </w:r>
      <w:r w:rsidR="00975CBE">
        <w:rPr>
          <w:rFonts w:ascii="Garamond" w:hAnsi="Garamond"/>
          <w:color w:val="000000" w:themeColor="text1"/>
        </w:rPr>
        <w:br/>
      </w:r>
      <w:r w:rsidR="00754D40" w:rsidRPr="007119A5">
        <w:rPr>
          <w:rFonts w:ascii="Garamond" w:hAnsi="Garamond"/>
          <w:color w:val="000000" w:themeColor="text1"/>
        </w:rPr>
        <w:t>w kategorii gimnazjów</w:t>
      </w:r>
      <w:r>
        <w:rPr>
          <w:rFonts w:ascii="Garamond" w:hAnsi="Garamond"/>
          <w:color w:val="000000" w:themeColor="text1"/>
        </w:rPr>
        <w:t>, jednakże postrzegając problem jako usługi rozwoju kompetencji kluczowych, należy traktować je osobno, gdyż wskazują na potrzebę dodatkowego wsparcia zgłaszaną w tej grupie wiekowej.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4D40" w:rsidRPr="007119A5" w:rsidTr="00754D40">
        <w:tc>
          <w:tcPr>
            <w:tcW w:w="3020" w:type="dxa"/>
          </w:tcPr>
          <w:p w:rsidR="00754D40" w:rsidRPr="007119A5" w:rsidRDefault="00754D40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754D40" w:rsidRPr="007119A5" w:rsidRDefault="00754D40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754D40" w:rsidRPr="007119A5" w:rsidRDefault="00754D40" w:rsidP="00A04CFC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754D40" w:rsidRPr="006B4AE9" w:rsidTr="00754D40">
        <w:tc>
          <w:tcPr>
            <w:tcW w:w="3020" w:type="dxa"/>
          </w:tcPr>
          <w:p w:rsidR="00754D40" w:rsidRPr="006B4AE9" w:rsidRDefault="00754D40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Dane dot. gimnazjów</w:t>
            </w:r>
          </w:p>
        </w:tc>
        <w:tc>
          <w:tcPr>
            <w:tcW w:w="3021" w:type="dxa"/>
          </w:tcPr>
          <w:p w:rsidR="00754D40" w:rsidRPr="006B4AE9" w:rsidRDefault="00754D40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3021" w:type="dxa"/>
          </w:tcPr>
          <w:p w:rsidR="00754D40" w:rsidRPr="006B4AE9" w:rsidRDefault="00754D40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787</w:t>
            </w:r>
          </w:p>
        </w:tc>
      </w:tr>
      <w:tr w:rsidR="00754D40" w:rsidRPr="006B4AE9" w:rsidTr="00754D40">
        <w:tc>
          <w:tcPr>
            <w:tcW w:w="3020" w:type="dxa"/>
          </w:tcPr>
          <w:p w:rsidR="00754D40" w:rsidRPr="006B4AE9" w:rsidRDefault="00754D40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Dane z PPP</w:t>
            </w:r>
          </w:p>
        </w:tc>
        <w:tc>
          <w:tcPr>
            <w:tcW w:w="3021" w:type="dxa"/>
          </w:tcPr>
          <w:p w:rsidR="00754D40" w:rsidRPr="006B4AE9" w:rsidRDefault="00754D40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754D40" w:rsidRPr="006B4AE9" w:rsidRDefault="00754D40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994</w:t>
            </w:r>
          </w:p>
        </w:tc>
      </w:tr>
      <w:tr w:rsidR="00754D40" w:rsidRPr="006B4AE9" w:rsidTr="00754D40">
        <w:tc>
          <w:tcPr>
            <w:tcW w:w="3020" w:type="dxa"/>
          </w:tcPr>
          <w:p w:rsidR="00754D40" w:rsidRPr="006B4AE9" w:rsidRDefault="00754D40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LO Marki</w:t>
            </w:r>
          </w:p>
        </w:tc>
        <w:tc>
          <w:tcPr>
            <w:tcW w:w="3021" w:type="dxa"/>
          </w:tcPr>
          <w:p w:rsidR="00754D40" w:rsidRPr="006B4AE9" w:rsidRDefault="00754D40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021" w:type="dxa"/>
          </w:tcPr>
          <w:p w:rsidR="00754D40" w:rsidRPr="006B4AE9" w:rsidRDefault="00754D40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B4AE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</w:tr>
      <w:tr w:rsidR="006B4AE9" w:rsidRPr="006B4AE9" w:rsidTr="00754D40">
        <w:tc>
          <w:tcPr>
            <w:tcW w:w="3020" w:type="dxa"/>
          </w:tcPr>
          <w:p w:rsidR="006B4AE9" w:rsidRPr="006B4AE9" w:rsidRDefault="006B4AE9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Absolwenci szkół ponadgimnazjalnych</w:t>
            </w:r>
          </w:p>
        </w:tc>
        <w:tc>
          <w:tcPr>
            <w:tcW w:w="3021" w:type="dxa"/>
          </w:tcPr>
          <w:p w:rsidR="006B4AE9" w:rsidRPr="006B4AE9" w:rsidRDefault="006B4AE9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3021" w:type="dxa"/>
          </w:tcPr>
          <w:p w:rsidR="006B4AE9" w:rsidRPr="006B4AE9" w:rsidRDefault="006B4AE9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497</w:t>
            </w:r>
          </w:p>
        </w:tc>
      </w:tr>
    </w:tbl>
    <w:p w:rsidR="006B4AE9" w:rsidRDefault="00D926B9" w:rsidP="00B51664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D926B9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Spadek liczby uczniów którzy nabyli kompetencje kluczowe wynika z faktu niżu demograficznego w wieku szkolnym.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Istotnym czynnikiem rozwoju społecznego jest to, by zaliczenie przedmiotów wiążących się z kompetencjami kluczowymi przyjmowało poziom wyższy niż najniższy dopuszczający. Im większa jest samodzielność i biegłość </w:t>
      </w:r>
      <w:r w:rsidR="00333D7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uczniów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 dziedzinach kluczowych</w:t>
      </w:r>
      <w:r w:rsidR="00333D7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tym </w:t>
      </w:r>
      <w:r w:rsidR="00333D7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szersze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3D7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mają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szanse na rozwój </w:t>
      </w:r>
      <w:r w:rsidR="00333D7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osobisty w kierunku zawodowym i społecznym.</w:t>
      </w:r>
    </w:p>
    <w:p w:rsidR="00333D77" w:rsidRPr="00D926B9" w:rsidRDefault="00333D77" w:rsidP="006B4AE9">
      <w:pPr>
        <w:spacing w:after="120" w:line="276" w:lineRule="auto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C73EBF" w:rsidRPr="007119A5" w:rsidRDefault="009C100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1.1.3. </w:t>
      </w:r>
      <w:r w:rsidR="00C73EBF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Liczba osób o niskich kwalifikacjach, które uzyskały kwalifikacje lub nabyły kompetencje po opuszczeniu programu (osoba)</w:t>
      </w:r>
    </w:p>
    <w:p w:rsidR="00C73EBF" w:rsidRDefault="005264EF" w:rsidP="00B51664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Strategia nie precyzuje o jaki program chodzi i jaki zakres kwalifikacji</w:t>
      </w:r>
      <w:r w:rsidR="00FA158C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i kompetencji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740393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Przyjęto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740393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do analizy wszystkie formy wsparcia</w:t>
      </w:r>
      <w:r w:rsidR="00806D2E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udzielane przez PUP, ponieważ podnoszenie kwalifikacji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806D2E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ma na celu poprawę sytuacji osobistej na rynku pracy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</w:t>
      </w:r>
      <w:r w:rsidR="00806D2E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pociągając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ą</w:t>
      </w:r>
      <w:r w:rsidR="00806D2E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za sobą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przede wszystkim </w:t>
      </w:r>
      <w:r w:rsidR="00806D2E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poprawę warunków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życia </w:t>
      </w:r>
      <w:r w:rsidR="00806D2E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materialnych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i bytowych</w:t>
      </w:r>
      <w:r w:rsidR="00806D2E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64EF" w:rsidRPr="007119A5" w:rsidTr="00D85DC2">
        <w:tc>
          <w:tcPr>
            <w:tcW w:w="3020" w:type="dxa"/>
          </w:tcPr>
          <w:p w:rsidR="005264EF" w:rsidRPr="007119A5" w:rsidRDefault="005264E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5264EF" w:rsidRPr="007119A5" w:rsidRDefault="005264E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5264EF" w:rsidRPr="007119A5" w:rsidRDefault="005264E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5264EF" w:rsidRPr="00333D77" w:rsidTr="00D85DC2">
        <w:tc>
          <w:tcPr>
            <w:tcW w:w="3020" w:type="dxa"/>
          </w:tcPr>
          <w:p w:rsidR="005264EF" w:rsidRPr="00333D77" w:rsidRDefault="005264EF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33D7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PUP</w:t>
            </w:r>
          </w:p>
        </w:tc>
        <w:tc>
          <w:tcPr>
            <w:tcW w:w="3021" w:type="dxa"/>
          </w:tcPr>
          <w:p w:rsidR="005264EF" w:rsidRPr="00333D77" w:rsidRDefault="005264E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33D7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727</w:t>
            </w:r>
          </w:p>
        </w:tc>
        <w:tc>
          <w:tcPr>
            <w:tcW w:w="3021" w:type="dxa"/>
          </w:tcPr>
          <w:p w:rsidR="005264EF" w:rsidRPr="00333D77" w:rsidRDefault="005264E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33D7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467</w:t>
            </w:r>
          </w:p>
        </w:tc>
      </w:tr>
    </w:tbl>
    <w:p w:rsidR="00C73EBF" w:rsidRDefault="00806D2E" w:rsidP="00F63EA9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 analizowanym okresie znacząco spadła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– </w:t>
      </w:r>
      <w:r w:rsidR="00B51664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o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około </w:t>
      </w:r>
      <w:r w:rsidR="00B51664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35%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liczba osób korzystających z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różnych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form wsparcia organizowanych przez PUP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Może to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mieć związek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z wyjątkowo dobr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ą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sytuacj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ą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F63EA9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na rynku pracy, gdzie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odnotowuje się obecnie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bardzo niskie bezrobocie i deficyty pracowników </w:t>
      </w:r>
      <w:r w:rsidR="00F63EA9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 wielu branżach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 P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ozwala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to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wielu osobom na znalezienie zatrudnienia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</w:t>
      </w:r>
      <w:r w:rsidR="009E6BDB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a tym samym </w:t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wpływa </w:t>
      </w:r>
      <w:r w:rsidR="00F63EA9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B51664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na zmniejszenie </w:t>
      </w:r>
      <w:r w:rsidR="009E6BDB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potrzeb w zakresie uzyskiwania kwalifikacji oraz kompetencji.</w:t>
      </w:r>
    </w:p>
    <w:p w:rsidR="00B51664" w:rsidRPr="007119A5" w:rsidRDefault="00B51664" w:rsidP="006B4AE9">
      <w:pPr>
        <w:spacing w:after="120" w:line="276" w:lineRule="auto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C73EBF" w:rsidRPr="006B4AE9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  <w:r w:rsidRPr="006B4AE9">
        <w:rPr>
          <w:rFonts w:ascii="Garamond" w:hAnsi="Garamond"/>
          <w:b/>
          <w:color w:val="000000" w:themeColor="text1"/>
          <w:sz w:val="28"/>
          <w:szCs w:val="24"/>
        </w:rPr>
        <w:t>Kierunek rozwoju 2: Wspieranie rozwoju lokalnej przedsiębiorczości</w:t>
      </w:r>
    </w:p>
    <w:p w:rsidR="00C73EBF" w:rsidRPr="007119A5" w:rsidRDefault="009C1000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1.2.1. </w:t>
      </w:r>
      <w:r w:rsidR="00C73EBF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wdrożonych innowacji w przedsiębiorstwach (szt.)</w:t>
      </w:r>
    </w:p>
    <w:p w:rsidR="005264EF" w:rsidRPr="007119A5" w:rsidRDefault="003D1F15" w:rsidP="00F63EA9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Brak danych</w:t>
      </w:r>
      <w:r w:rsidR="009E6BDB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pozyskiwanych bezpośrednio</w:t>
      </w:r>
      <w:r w:rsidR="00F63EA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 G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miny ani powiat nie gromadz</w:t>
      </w:r>
      <w:r w:rsidR="00F63EA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ą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takich informacji.</w:t>
      </w:r>
    </w:p>
    <w:p w:rsidR="005264EF" w:rsidRPr="007119A5" w:rsidRDefault="009E6BDB" w:rsidP="00F63EA9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Dane ogólne dla powiatu można pozyskać z Banku Danych Lokalnych. </w:t>
      </w:r>
      <w:r w:rsidR="0074039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BDL gromadzi informacje na poziomie powiatu w zakresie </w:t>
      </w:r>
      <w:r w:rsidR="007403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wartości inwestycji przedsiębiorstw w środki trwałe</w:t>
      </w:r>
      <w:r w:rsidR="0074039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Nie ma natomiast wskazania na innowacyjny charakter tych przedsięwzięć. </w:t>
      </w:r>
      <w:r w:rsidR="00F63EA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chwili obecnej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niedostępne są </w:t>
      </w:r>
      <w:r w:rsidR="00F63EA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jeszcze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dane za 2017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0393" w:rsidRPr="007119A5" w:rsidTr="00740393">
        <w:tc>
          <w:tcPr>
            <w:tcW w:w="3020" w:type="dxa"/>
          </w:tcPr>
          <w:p w:rsidR="00740393" w:rsidRPr="00F63EA9" w:rsidRDefault="00740393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740393" w:rsidRPr="00F63EA9" w:rsidRDefault="00740393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740393" w:rsidRPr="00F63EA9" w:rsidRDefault="00740393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740393" w:rsidRPr="007119A5" w:rsidTr="00740393">
        <w:tc>
          <w:tcPr>
            <w:tcW w:w="3020" w:type="dxa"/>
          </w:tcPr>
          <w:p w:rsidR="00740393" w:rsidRPr="007119A5" w:rsidRDefault="00740393" w:rsidP="006B4AE9">
            <w:pPr>
              <w:spacing w:after="120" w:line="276" w:lineRule="auto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  <w:t>Wartość inwestycji w środki trwałe w tyś. zł</w:t>
            </w:r>
          </w:p>
        </w:tc>
        <w:tc>
          <w:tcPr>
            <w:tcW w:w="3021" w:type="dxa"/>
          </w:tcPr>
          <w:p w:rsidR="00740393" w:rsidRPr="007119A5" w:rsidRDefault="0074039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  <w:t>1 125 990</w:t>
            </w:r>
          </w:p>
        </w:tc>
        <w:tc>
          <w:tcPr>
            <w:tcW w:w="3021" w:type="dxa"/>
          </w:tcPr>
          <w:p w:rsidR="00740393" w:rsidRPr="007119A5" w:rsidRDefault="004B104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7119A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  <w:t>Bd</w:t>
            </w:r>
            <w:proofErr w:type="spellEnd"/>
          </w:p>
        </w:tc>
      </w:tr>
      <w:tr w:rsidR="00740393" w:rsidRPr="007119A5" w:rsidTr="00740393">
        <w:tc>
          <w:tcPr>
            <w:tcW w:w="3020" w:type="dxa"/>
          </w:tcPr>
          <w:p w:rsidR="00740393" w:rsidRPr="007119A5" w:rsidRDefault="00740393" w:rsidP="006B4AE9">
            <w:pPr>
              <w:spacing w:after="120" w:line="276" w:lineRule="auto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Wartość brutto środków trwałych w posiadaniu przedsiębiorstw w tyś. zł</w:t>
            </w:r>
          </w:p>
        </w:tc>
        <w:tc>
          <w:tcPr>
            <w:tcW w:w="3021" w:type="dxa"/>
          </w:tcPr>
          <w:p w:rsidR="00740393" w:rsidRPr="007119A5" w:rsidRDefault="004B104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  <w:t>5 495 266</w:t>
            </w:r>
          </w:p>
        </w:tc>
        <w:tc>
          <w:tcPr>
            <w:tcW w:w="3021" w:type="dxa"/>
          </w:tcPr>
          <w:p w:rsidR="00740393" w:rsidRPr="007119A5" w:rsidRDefault="004B104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7119A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pl-PL"/>
              </w:rPr>
              <w:t>Bd</w:t>
            </w:r>
            <w:proofErr w:type="spellEnd"/>
          </w:p>
        </w:tc>
      </w:tr>
    </w:tbl>
    <w:p w:rsidR="00740393" w:rsidRPr="007119A5" w:rsidRDefault="009E6BDB" w:rsidP="00F63EA9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Wartość inwestycji w środki trwałe na poziomie 1.125.990 tys. zł w 2016 r. pozwala przyjąć założenie, że większość z tych środków przeznaczone jest na stworzenie nowoczesnej bazy produkcyjnej wytwórczej i usługowej, z czego część zapewne </w:t>
      </w:r>
      <w:r w:rsidR="00F63EA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charakterze innowacji. Dane </w:t>
      </w:r>
      <w:r w:rsidR="00F63EA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te będą znakomitą bazą porównawczą dla lat następnych i pozwolą uzyskać obraz zmian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 tendencji zachodzących w tej sferze na obszarze powiatu. </w:t>
      </w:r>
    </w:p>
    <w:p w:rsidR="007F2583" w:rsidRPr="007119A5" w:rsidRDefault="009E6BDB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C73EBF" w:rsidRPr="007119A5" w:rsidRDefault="009C1000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1.2.2. </w:t>
      </w:r>
      <w:r w:rsidR="00C73EBF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Liczba firm </w:t>
      </w:r>
      <w:proofErr w:type="spellStart"/>
      <w:r w:rsidR="00C73EBF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noworejestrowanych</w:t>
      </w:r>
      <w:proofErr w:type="spellEnd"/>
      <w:r w:rsidR="00C73EBF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w danym roku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1F15" w:rsidRPr="007119A5" w:rsidTr="00D85DC2">
        <w:tc>
          <w:tcPr>
            <w:tcW w:w="3020" w:type="dxa"/>
          </w:tcPr>
          <w:p w:rsidR="003D1F15" w:rsidRPr="007119A5" w:rsidRDefault="003D1F15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3D1F15" w:rsidRPr="007119A5" w:rsidRDefault="003D1F15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3D1F15" w:rsidRPr="007119A5" w:rsidRDefault="003D1F15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3D1F15" w:rsidRPr="007119A5" w:rsidTr="00D85DC2">
        <w:tc>
          <w:tcPr>
            <w:tcW w:w="3020" w:type="dxa"/>
          </w:tcPr>
          <w:p w:rsidR="003D1F15" w:rsidRPr="00F63EA9" w:rsidRDefault="003D1F15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Liczba firm </w:t>
            </w:r>
            <w:proofErr w:type="spellStart"/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noworejestrowanych</w:t>
            </w:r>
            <w:proofErr w:type="spellEnd"/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21" w:type="dxa"/>
          </w:tcPr>
          <w:p w:rsidR="003D1F15" w:rsidRPr="00F63EA9" w:rsidRDefault="00C038EB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6B4AE9"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3021" w:type="dxa"/>
          </w:tcPr>
          <w:p w:rsidR="003D1F15" w:rsidRPr="00F63EA9" w:rsidRDefault="00C038EB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6B4AE9"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100</w:t>
            </w:r>
          </w:p>
        </w:tc>
      </w:tr>
      <w:tr w:rsidR="004B1043" w:rsidRPr="007119A5" w:rsidTr="00D85DC2">
        <w:tc>
          <w:tcPr>
            <w:tcW w:w="3020" w:type="dxa"/>
          </w:tcPr>
          <w:p w:rsidR="004B1043" w:rsidRPr="00F63EA9" w:rsidRDefault="004B1043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Wg BDL</w:t>
            </w:r>
          </w:p>
        </w:tc>
        <w:tc>
          <w:tcPr>
            <w:tcW w:w="3021" w:type="dxa"/>
          </w:tcPr>
          <w:p w:rsidR="004B1043" w:rsidRPr="00F63EA9" w:rsidRDefault="004B104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2481</w:t>
            </w:r>
          </w:p>
        </w:tc>
        <w:tc>
          <w:tcPr>
            <w:tcW w:w="3021" w:type="dxa"/>
          </w:tcPr>
          <w:p w:rsidR="004B1043" w:rsidRPr="00F63EA9" w:rsidRDefault="004B104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3EA9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2707</w:t>
            </w:r>
          </w:p>
        </w:tc>
      </w:tr>
    </w:tbl>
    <w:p w:rsidR="00152967" w:rsidRPr="007119A5" w:rsidRDefault="00152967" w:rsidP="00152967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Dane zebrane bezpośrednio z gmin, wskazują na mniejszą liczbę nowych podmiotów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  <w:t xml:space="preserve">w porównaniu rok do roku. </w:t>
      </w:r>
      <w:r w:rsidR="003D1F15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="00C038EB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większości </w:t>
      </w:r>
      <w:r w:rsidR="003D1F15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gmin, obserwuje się tendencję wzrastającą, która świadczy o dużej przedsiębiorczości mieszkańców. Obserwowany wzrost daje podstawy sądzić,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3D1F15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że w miejsce zamy</w:t>
      </w:r>
      <w:r w:rsidR="007F2583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k</w:t>
      </w:r>
      <w:r w:rsidR="003D1F15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anych podmiotów powstają nowe w liczbie większej niż dotychczas</w:t>
      </w:r>
      <w:r w:rsidR="00C038EB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istniejące.</w:t>
      </w:r>
      <w:r w:rsidR="007C56A6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Zastanawiający jest znaczący spadek </w:t>
      </w:r>
      <w:proofErr w:type="spellStart"/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noworejestrowanych</w:t>
      </w:r>
      <w:proofErr w:type="spellEnd"/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firm w Wołominie z 735 w 2016 r.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do 486 w 2017 r. czyli mniej o blisko 35%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 Klembowie gdzie odnotowano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odpowiednio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  <w:t>w badanych latach 51 i 43, oraz w Poświętnem 32 i 21.</w:t>
      </w:r>
      <w:r w:rsidRPr="0015296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Przyczyn takiej sytuacji można poszukiwać na wielu płaszczyznach.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Może to być spowodowane m.in. nasyceniem rynku, konkurencją ze strony dużych obiektów handlowych, zmianą warunków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rynkowych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a także zmianami funkcjonowania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bądź zakończeniem program</w:t>
      </w: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ów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wsparcia dla </w:t>
      </w:r>
      <w:proofErr w:type="spellStart"/>
      <w:r w:rsidR="009C5DA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nowootwieranych</w:t>
      </w:r>
      <w:proofErr w:type="spellEnd"/>
      <w:r w:rsidR="009C5DA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przedsiębiorstw lub ograniczoną dostępnością terenów inwestycyjnych.</w:t>
      </w:r>
    </w:p>
    <w:p w:rsidR="00C038EB" w:rsidRDefault="007C56A6" w:rsidP="000C2C43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lastRenderedPageBreak/>
        <w:t>Dane BDL</w:t>
      </w:r>
      <w:r w:rsidR="000C2C4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rejestrującego nowe podmioty wg klasyfikacji REGON,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przedstawiają odmienną sytuację, z której wynika, że liczba </w:t>
      </w:r>
      <w:proofErr w:type="spellStart"/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nowootwartych</w:t>
      </w:r>
      <w:proofErr w:type="spellEnd"/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przedsiębiorstw na obszarze powiatu </w:t>
      </w:r>
      <w:r w:rsidR="000C2C4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 2017 r. jest wyższa niż w 2016. Jedyną gminą w której zanotowano mniejszą liczbę nowych podmiotów jest Klembów. </w:t>
      </w:r>
    </w:p>
    <w:p w:rsidR="000C2C43" w:rsidRPr="007119A5" w:rsidRDefault="000C2C43" w:rsidP="000C2C43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Warto mieć na uwadze oba te wskazania, gdyż dane przedstawione bezpośrednio przez gminy, sygnalizują zmiany na rynkach lokalnych, wśród społeczności lokalnej i jej bezpośrednio dotyczące. </w:t>
      </w:r>
    </w:p>
    <w:p w:rsidR="007F2583" w:rsidRPr="007119A5" w:rsidRDefault="007F2583" w:rsidP="006B4AE9">
      <w:pPr>
        <w:spacing w:after="120" w:line="276" w:lineRule="auto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C73EBF" w:rsidRPr="007119A5" w:rsidRDefault="009C1000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1.2.3. </w:t>
      </w:r>
      <w:r w:rsidR="00C73EBF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szkoleń i poradnictwa zawodowego na temat podnoszenia kwalifikacji, wspieranie zatrudnienia i samozatrudnienia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2583" w:rsidRPr="007119A5" w:rsidTr="00D85DC2">
        <w:tc>
          <w:tcPr>
            <w:tcW w:w="3020" w:type="dxa"/>
          </w:tcPr>
          <w:p w:rsidR="007F2583" w:rsidRPr="007119A5" w:rsidRDefault="007F2583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7F2583" w:rsidRPr="007119A5" w:rsidRDefault="007F2583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7F2583" w:rsidRPr="007119A5" w:rsidRDefault="007F2583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7F2583" w:rsidRPr="007119A5" w:rsidTr="00D85DC2">
        <w:tc>
          <w:tcPr>
            <w:tcW w:w="3020" w:type="dxa"/>
          </w:tcPr>
          <w:p w:rsidR="007F2583" w:rsidRPr="000C2C43" w:rsidRDefault="007F2583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C2C4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Szkolenia</w:t>
            </w:r>
          </w:p>
        </w:tc>
        <w:tc>
          <w:tcPr>
            <w:tcW w:w="3021" w:type="dxa"/>
          </w:tcPr>
          <w:p w:rsidR="007F2583" w:rsidRPr="00CE39E5" w:rsidRDefault="007F258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3021" w:type="dxa"/>
          </w:tcPr>
          <w:p w:rsidR="007F2583" w:rsidRPr="00CE39E5" w:rsidRDefault="007F258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139</w:t>
            </w:r>
          </w:p>
        </w:tc>
      </w:tr>
      <w:tr w:rsidR="007F2583" w:rsidRPr="007119A5" w:rsidTr="00D85DC2">
        <w:tc>
          <w:tcPr>
            <w:tcW w:w="3020" w:type="dxa"/>
          </w:tcPr>
          <w:p w:rsidR="007F2583" w:rsidRPr="000C2C43" w:rsidRDefault="007F2583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C2C4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Poradnictwo zawodowe</w:t>
            </w:r>
          </w:p>
        </w:tc>
        <w:tc>
          <w:tcPr>
            <w:tcW w:w="3021" w:type="dxa"/>
          </w:tcPr>
          <w:p w:rsidR="007F2583" w:rsidRPr="00CE39E5" w:rsidRDefault="007F258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843</w:t>
            </w:r>
          </w:p>
        </w:tc>
        <w:tc>
          <w:tcPr>
            <w:tcW w:w="3021" w:type="dxa"/>
          </w:tcPr>
          <w:p w:rsidR="007F2583" w:rsidRPr="00CE39E5" w:rsidRDefault="007F2583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700</w:t>
            </w:r>
          </w:p>
        </w:tc>
      </w:tr>
    </w:tbl>
    <w:p w:rsidR="007C56A6" w:rsidRPr="007119A5" w:rsidRDefault="00C038EB" w:rsidP="000C2C43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119A5">
        <w:rPr>
          <w:rFonts w:ascii="Garamond" w:hAnsi="Garamond"/>
          <w:color w:val="000000" w:themeColor="text1"/>
          <w:sz w:val="24"/>
          <w:szCs w:val="24"/>
        </w:rPr>
        <w:t>Wskaźnik ten obrazuje</w:t>
      </w:r>
      <w:r w:rsidR="000C2C43">
        <w:rPr>
          <w:rFonts w:ascii="Garamond" w:hAnsi="Garamond"/>
          <w:color w:val="000000" w:themeColor="text1"/>
          <w:sz w:val="24"/>
          <w:szCs w:val="24"/>
        </w:rPr>
        <w:t xml:space="preserve"> wyraźny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 spadek liczby udzielonych świadczeń w za</w:t>
      </w:r>
      <w:r w:rsidR="007C56A6" w:rsidRPr="007119A5">
        <w:rPr>
          <w:rFonts w:ascii="Garamond" w:hAnsi="Garamond"/>
          <w:color w:val="000000" w:themeColor="text1"/>
          <w:sz w:val="24"/>
          <w:szCs w:val="24"/>
        </w:rPr>
        <w:t>k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resie szkoleń </w:t>
      </w:r>
      <w:r w:rsidR="000C2C43">
        <w:rPr>
          <w:rFonts w:ascii="Garamond" w:hAnsi="Garamond"/>
          <w:color w:val="000000" w:themeColor="text1"/>
          <w:sz w:val="24"/>
          <w:szCs w:val="24"/>
        </w:rPr>
        <w:br/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i poradnictwa zawodowego. Może to być spowodowane zmniejszeniem poziomu </w:t>
      </w:r>
      <w:r w:rsidR="007C56A6" w:rsidRPr="007119A5">
        <w:rPr>
          <w:rFonts w:ascii="Garamond" w:hAnsi="Garamond"/>
          <w:color w:val="000000" w:themeColor="text1"/>
          <w:sz w:val="24"/>
          <w:szCs w:val="24"/>
        </w:rPr>
        <w:t xml:space="preserve">bezrobocia, </w:t>
      </w:r>
      <w:r w:rsidR="000C2C43">
        <w:rPr>
          <w:rFonts w:ascii="Garamond" w:hAnsi="Garamond"/>
          <w:color w:val="000000" w:themeColor="text1"/>
          <w:sz w:val="24"/>
          <w:szCs w:val="24"/>
        </w:rPr>
        <w:br/>
      </w:r>
      <w:r w:rsidR="007C56A6" w:rsidRPr="007119A5">
        <w:rPr>
          <w:rFonts w:ascii="Garamond" w:hAnsi="Garamond"/>
          <w:color w:val="000000" w:themeColor="text1"/>
          <w:sz w:val="24"/>
          <w:szCs w:val="24"/>
        </w:rPr>
        <w:t xml:space="preserve">co skutkuje mniejszą liczbą 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osób potrzebujących </w:t>
      </w:r>
      <w:r w:rsidR="007C56A6" w:rsidRPr="007119A5">
        <w:rPr>
          <w:rFonts w:ascii="Garamond" w:hAnsi="Garamond"/>
          <w:color w:val="000000" w:themeColor="text1"/>
          <w:sz w:val="24"/>
          <w:szCs w:val="24"/>
        </w:rPr>
        <w:t xml:space="preserve">tego typu form wsparcia. </w:t>
      </w:r>
    </w:p>
    <w:p w:rsidR="007F2583" w:rsidRDefault="007C56A6" w:rsidP="000C2C43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Analizując ten wskaźnik łącznie ze wskazaniami </w:t>
      </w:r>
      <w:r w:rsidR="007F2583" w:rsidRPr="007119A5">
        <w:rPr>
          <w:rFonts w:ascii="Garamond" w:hAnsi="Garamond"/>
          <w:color w:val="000000" w:themeColor="text1"/>
          <w:sz w:val="24"/>
          <w:szCs w:val="24"/>
        </w:rPr>
        <w:t>poprzedni</w:t>
      </w:r>
      <w:r w:rsidRPr="007119A5">
        <w:rPr>
          <w:rFonts w:ascii="Garamond" w:hAnsi="Garamond"/>
          <w:color w:val="000000" w:themeColor="text1"/>
          <w:sz w:val="24"/>
          <w:szCs w:val="24"/>
        </w:rPr>
        <w:t>ego</w:t>
      </w:r>
      <w:r w:rsidR="007F2583" w:rsidRPr="007119A5">
        <w:rPr>
          <w:rFonts w:ascii="Garamond" w:hAnsi="Garamond"/>
          <w:color w:val="000000" w:themeColor="text1"/>
          <w:sz w:val="24"/>
          <w:szCs w:val="24"/>
        </w:rPr>
        <w:t xml:space="preserve"> wskaźnik</w:t>
      </w:r>
      <w:r w:rsidRPr="007119A5">
        <w:rPr>
          <w:rFonts w:ascii="Garamond" w:hAnsi="Garamond"/>
          <w:color w:val="000000" w:themeColor="text1"/>
          <w:sz w:val="24"/>
          <w:szCs w:val="24"/>
        </w:rPr>
        <w:t>a,</w:t>
      </w:r>
      <w:r w:rsidR="00C038EB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Liczba firm </w:t>
      </w:r>
      <w:proofErr w:type="spellStart"/>
      <w:r w:rsidR="00C038EB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noworejestrowanych</w:t>
      </w:r>
      <w:proofErr w:type="spellEnd"/>
      <w:r w:rsidR="00C038EB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w danym roku (szt.)</w:t>
      </w:r>
      <w:r w:rsidR="007F2583" w:rsidRPr="007119A5">
        <w:rPr>
          <w:rFonts w:ascii="Garamond" w:hAnsi="Garamond"/>
          <w:color w:val="000000" w:themeColor="text1"/>
          <w:sz w:val="24"/>
          <w:szCs w:val="24"/>
        </w:rPr>
        <w:t>, pokazuje on</w:t>
      </w:r>
      <w:r w:rsidR="000C2C43">
        <w:rPr>
          <w:rFonts w:ascii="Garamond" w:hAnsi="Garamond"/>
          <w:color w:val="000000" w:themeColor="text1"/>
          <w:sz w:val="24"/>
          <w:szCs w:val="24"/>
        </w:rPr>
        <w:t xml:space="preserve"> na</w:t>
      </w:r>
      <w:r w:rsidR="007F2583" w:rsidRPr="007119A5">
        <w:rPr>
          <w:rFonts w:ascii="Garamond" w:hAnsi="Garamond"/>
          <w:color w:val="000000" w:themeColor="text1"/>
          <w:sz w:val="24"/>
          <w:szCs w:val="24"/>
        </w:rPr>
        <w:t xml:space="preserve"> dużą potrzebę </w:t>
      </w:r>
      <w:r w:rsidR="000C2C43">
        <w:rPr>
          <w:rFonts w:ascii="Garamond" w:hAnsi="Garamond"/>
          <w:color w:val="000000" w:themeColor="text1"/>
          <w:sz w:val="24"/>
          <w:szCs w:val="24"/>
        </w:rPr>
        <w:t xml:space="preserve">w zakresie </w:t>
      </w:r>
      <w:r w:rsidR="007F2583" w:rsidRPr="007119A5">
        <w:rPr>
          <w:rFonts w:ascii="Garamond" w:hAnsi="Garamond"/>
          <w:color w:val="000000" w:themeColor="text1"/>
          <w:sz w:val="24"/>
          <w:szCs w:val="24"/>
        </w:rPr>
        <w:t>poradnictwa i wsparcia przedsiębiorczości wśród osób chcących otworzyć działalność gospodarczą bądź zdobyć nowe kwalifikacje</w:t>
      </w:r>
      <w:r w:rsidR="000C2C43">
        <w:rPr>
          <w:rFonts w:ascii="Garamond" w:hAnsi="Garamond"/>
          <w:color w:val="000000" w:themeColor="text1"/>
          <w:sz w:val="24"/>
          <w:szCs w:val="24"/>
        </w:rPr>
        <w:t xml:space="preserve"> pożądane na rynku pracy</w:t>
      </w:r>
      <w:r w:rsidR="007F2583" w:rsidRPr="007119A5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:rsidR="006B4AE9" w:rsidRPr="007119A5" w:rsidRDefault="006B4AE9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C73EBF" w:rsidRPr="007119A5" w:rsidRDefault="00C73EBF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Kierunek rozwoju 3: </w:t>
      </w: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  <w:t>Zwiększenie atrakcyjności inwestycyjnej powiatu wołomińskiego</w:t>
      </w:r>
    </w:p>
    <w:p w:rsidR="00C73EBF" w:rsidRPr="007119A5" w:rsidRDefault="009C100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1.3.1. </w:t>
      </w:r>
      <w:r w:rsidR="00C73EBF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Powierzchnia przygotowanych terenów inwestycyjnych (ha)</w:t>
      </w:r>
    </w:p>
    <w:p w:rsidR="008532C8" w:rsidRPr="007119A5" w:rsidRDefault="000B16BF" w:rsidP="000C2C43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Gminy</w:t>
      </w:r>
      <w:r w:rsidR="00763E39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 różny sposób z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interpret</w:t>
      </w:r>
      <w:r w:rsidR="00763E39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owały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wskaźnik</w:t>
      </w:r>
      <w:r w:rsidR="00763E39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. Część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wskaz</w:t>
      </w:r>
      <w:r w:rsidR="00763E39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ała ogólny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obszar posiadany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 roku objętym analizą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 natomiast c</w:t>
      </w:r>
      <w:r w:rsidR="00763E39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zęść obszar przygotowany w poszczególnych latach.</w:t>
      </w:r>
      <w:r w:rsidR="0002527A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Analiza danych pozwoliła wskazać ogólną tendencję wzrostową posiadanych obszarów inwestycyjnych.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6BF" w:rsidRPr="007119A5" w:rsidTr="00D85DC2">
        <w:tc>
          <w:tcPr>
            <w:tcW w:w="3020" w:type="dxa"/>
          </w:tcPr>
          <w:p w:rsidR="000B16BF" w:rsidRPr="007119A5" w:rsidRDefault="000B16BF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0B16BF" w:rsidRPr="007119A5" w:rsidRDefault="000B16B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0B16BF" w:rsidRPr="007119A5" w:rsidRDefault="000B16B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0B16BF" w:rsidRPr="00547B8C" w:rsidTr="00D85DC2">
        <w:tc>
          <w:tcPr>
            <w:tcW w:w="3020" w:type="dxa"/>
          </w:tcPr>
          <w:p w:rsidR="000B16BF" w:rsidRPr="00547B8C" w:rsidRDefault="000B16BF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Powierzchnia</w:t>
            </w:r>
            <w:r w:rsidR="004B1043"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(ha)</w:t>
            </w:r>
          </w:p>
        </w:tc>
        <w:tc>
          <w:tcPr>
            <w:tcW w:w="3021" w:type="dxa"/>
          </w:tcPr>
          <w:p w:rsidR="000B16BF" w:rsidRPr="00547B8C" w:rsidRDefault="000B16B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453,1826</w:t>
            </w:r>
          </w:p>
        </w:tc>
        <w:tc>
          <w:tcPr>
            <w:tcW w:w="3021" w:type="dxa"/>
          </w:tcPr>
          <w:p w:rsidR="000B16BF" w:rsidRPr="00547B8C" w:rsidRDefault="000B16B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462,3711</w:t>
            </w:r>
          </w:p>
        </w:tc>
      </w:tr>
    </w:tbl>
    <w:p w:rsidR="000B16BF" w:rsidRDefault="0002527A" w:rsidP="00547B8C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Wskaźnik ten jest trudny do oszacowania, zwłaszcza w przypadku dość powszechnego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 powiecie braku planów zagospodarowania trenów gmin. O ile w miastach większość terenów jest objętych planami przestrzennymi, o tyle w gminach wiejskich i na obszarach pozamiejskich plany tworzy się na potrzeby konkretnych zadań, często związanych z infrastrukturą społeczną m.in. budowa drogi, oczyszczalni, itp. tylko dla wybranych obszarów. Należy zaznaczyć,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ż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e samorządy nie dysponują dużym areałem, który można 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przygotować i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przeznaczyć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pod inwestycje. Tereny w większości znajdują się w rękach prywatnych. Białe plamy na mapach zagospodarowania przestrzennego są obszarami, które mogą, ale też nie muszą być terenami inwestycyjnymi. Wiele zależy od inwencji posiadaczy terenu i ich ewentualnych zamiarów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względem nich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</w:t>
      </w:r>
      <w:r w:rsidR="00116B3A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Brak regulacji dotyczących terenów nie objętych planami miejscowymi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</w:t>
      </w:r>
      <w:r w:rsidR="00116B3A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negatywnie </w:t>
      </w:r>
      <w:r w:rsidR="00116B3A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lastRenderedPageBreak/>
        <w:t>wpływa na ich atrakcyjność inwestycyjną dla przedsiębiorców, który wolą poszukać obszarów oferujących pełen zakres infrastruktury oraz mających zgodę społeczną na przyszłe funkcje inwestycyjne.</w:t>
      </w:r>
    </w:p>
    <w:p w:rsidR="006B4AE9" w:rsidRPr="007119A5" w:rsidRDefault="006B4AE9" w:rsidP="006B4AE9">
      <w:pPr>
        <w:spacing w:after="120" w:line="276" w:lineRule="auto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0B16BF" w:rsidRPr="007119A5" w:rsidRDefault="009C100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1.3.2. </w:t>
      </w:r>
      <w:r w:rsidR="00C73EBF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Liczba inwestycji zlokalizowanych na przygotowanych terenach inwestycyjnych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6B3A" w:rsidRPr="007119A5" w:rsidTr="00D85DC2">
        <w:tc>
          <w:tcPr>
            <w:tcW w:w="3020" w:type="dxa"/>
          </w:tcPr>
          <w:p w:rsidR="000B16BF" w:rsidRPr="007119A5" w:rsidRDefault="000B16BF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0B16BF" w:rsidRPr="007119A5" w:rsidRDefault="000B16B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0B16BF" w:rsidRPr="007119A5" w:rsidRDefault="000B16B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116B3A" w:rsidRPr="00547B8C" w:rsidTr="00D85DC2">
        <w:tc>
          <w:tcPr>
            <w:tcW w:w="3020" w:type="dxa"/>
          </w:tcPr>
          <w:p w:rsidR="000B16BF" w:rsidRPr="00547B8C" w:rsidRDefault="000B16BF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Liczba inwestycji</w:t>
            </w:r>
          </w:p>
        </w:tc>
        <w:tc>
          <w:tcPr>
            <w:tcW w:w="3021" w:type="dxa"/>
          </w:tcPr>
          <w:p w:rsidR="000B16BF" w:rsidRPr="00547B8C" w:rsidRDefault="000B16B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21" w:type="dxa"/>
          </w:tcPr>
          <w:p w:rsidR="000B16BF" w:rsidRPr="00547B8C" w:rsidRDefault="0002527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</w:tr>
    </w:tbl>
    <w:p w:rsidR="006B4AE9" w:rsidRDefault="00116B3A" w:rsidP="00547B8C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 analizowanym okresie można zaobserwować wzrost liczby inwestycji na przygotowanych terenach inwestycyjnych. Pozwala to na nieśmiały wniosek, że obszar powiatu staje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się atrakcyjnym celem dla inwestorów, którzy poszukują terenów o 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ukierunkowanym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przeznaczeniu i dobrej infrastrukturze. Plany zagospodarowania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przestrzennego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 dobre drogi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i skomunikowanie z głównymi trasami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 dostęp do wody i sieci energetycznych to niezbędne elementy lokalizacji nowych inwestycji. Większość z tych czynników leży w gestii samorządów, dlatego też dbałość o ich zrównoważony rozwój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może znacząco wpłynąć na liczbę nowych przedsięwzięć na naszym terenie. </w:t>
      </w:r>
    </w:p>
    <w:p w:rsidR="006B4AE9" w:rsidRDefault="006B4AE9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EBF" w:rsidRPr="007119A5" w:rsidRDefault="009C100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1.3.</w:t>
      </w:r>
      <w:r w:rsidR="007C56A6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C73EBF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Liczba w przedsięwzięć informacyjno-promocyjnych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6BF" w:rsidRPr="007119A5" w:rsidTr="00D85DC2">
        <w:tc>
          <w:tcPr>
            <w:tcW w:w="3020" w:type="dxa"/>
          </w:tcPr>
          <w:p w:rsidR="000B16BF" w:rsidRPr="007119A5" w:rsidRDefault="000B16BF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0B16BF" w:rsidRPr="007119A5" w:rsidRDefault="000B16B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0B16BF" w:rsidRPr="007119A5" w:rsidRDefault="000B16BF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0B16BF" w:rsidRPr="00547B8C" w:rsidTr="00D85DC2">
        <w:tc>
          <w:tcPr>
            <w:tcW w:w="3020" w:type="dxa"/>
          </w:tcPr>
          <w:p w:rsidR="000B16BF" w:rsidRPr="00547B8C" w:rsidRDefault="000B16BF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Liczba przedsięwzięć promocyjnych</w:t>
            </w:r>
          </w:p>
        </w:tc>
        <w:tc>
          <w:tcPr>
            <w:tcW w:w="3021" w:type="dxa"/>
          </w:tcPr>
          <w:p w:rsidR="000B16BF" w:rsidRPr="00547B8C" w:rsidRDefault="000B16B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116B3A"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1" w:type="dxa"/>
          </w:tcPr>
          <w:p w:rsidR="000B16BF" w:rsidRPr="00547B8C" w:rsidRDefault="000B16B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116B3A" w:rsidRPr="00547B8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84</w:t>
            </w:r>
          </w:p>
        </w:tc>
      </w:tr>
    </w:tbl>
    <w:p w:rsidR="00547B8C" w:rsidRDefault="0031420F" w:rsidP="00547B8C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t xml:space="preserve">Wskaźnik niestety nigdzie nie precyzuje czy mowa o przedsięwzięciach skierowanych tylko 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t xml:space="preserve">do potencjalnych inwestorów, czy także do wszystkich potencjalnych nabywców usług oferowanych na terenie powiatu, np. turystów, gości przyjezdnych. </w:t>
      </w:r>
    </w:p>
    <w:p w:rsidR="0031420F" w:rsidRPr="007119A5" w:rsidRDefault="0031420F" w:rsidP="00547B8C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t xml:space="preserve">Obserwowany spadek ogólny jest zaprzeczeniem sytuacji w poszczególnych gminach, gdzie, poza Wołominem, obserwujemy wzrost liczby przedsięwzięć. Gminy przykładają coraz większą uwagę do tworzenia pozytywnego wizerunku swoich obszarów, szukają nowych kanałów promocji 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t>i reklamy, zarówno przez informacje ogólne, jak i informacje szczegółowe dotyczące jednostkowych wydarzeń</w:t>
      </w:r>
      <w:r w:rsidR="00547B8C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t xml:space="preserve"> i przedsięwzięć lokalnych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18"/>
          <w:lang w:eastAsia="pl-PL"/>
        </w:rPr>
        <w:t xml:space="preserve">. </w:t>
      </w:r>
    </w:p>
    <w:p w:rsidR="000B16BF" w:rsidRPr="007119A5" w:rsidRDefault="000B16BF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18"/>
          <w:szCs w:val="18"/>
          <w:lang w:eastAsia="pl-PL"/>
        </w:rPr>
      </w:pPr>
    </w:p>
    <w:p w:rsidR="003D1F15" w:rsidRDefault="003D1F15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18"/>
          <w:szCs w:val="18"/>
          <w:lang w:eastAsia="pl-PL"/>
        </w:rPr>
      </w:pPr>
    </w:p>
    <w:p w:rsidR="00E405B0" w:rsidRPr="007119A5" w:rsidRDefault="00E405B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18"/>
          <w:szCs w:val="18"/>
          <w:lang w:eastAsia="pl-PL"/>
        </w:rPr>
        <w:sectPr w:rsidR="00E405B0" w:rsidRPr="007119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  <w:bookmarkStart w:id="0" w:name="_Hlk520807357"/>
      <w:r w:rsidRPr="007119A5">
        <w:rPr>
          <w:rFonts w:ascii="Garamond" w:hAnsi="Garamond"/>
          <w:b/>
          <w:color w:val="000000" w:themeColor="text1"/>
          <w:sz w:val="28"/>
          <w:szCs w:val="24"/>
        </w:rPr>
        <w:lastRenderedPageBreak/>
        <w:t>Cel strategiczny 2: AKTYWIZACJA SPOŁECZNA I OBYWATELSKA MIESZKAŃCÓW POWIATU WOŁOMIŃSKIEGO</w:t>
      </w:r>
    </w:p>
    <w:bookmarkEnd w:id="0"/>
    <w:p w:rsidR="004A502A" w:rsidRDefault="004A502A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</w:p>
    <w:p w:rsidR="008532C8" w:rsidRDefault="00C73EBF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>Kierunek rozwoju 1: Przeciwdziałanie wykluczeniu społecznemu</w:t>
      </w:r>
      <w:r w:rsidR="008532C8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 </w:t>
      </w:r>
    </w:p>
    <w:p w:rsidR="00E44212" w:rsidRDefault="00E44212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</w:p>
    <w:p w:rsidR="00E44212" w:rsidRPr="007119A5" w:rsidRDefault="00E44212" w:rsidP="00E44212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Nie wszystkie gminy podały wartości z</w:t>
      </w:r>
      <w:r w:rsidR="009C5DA3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a dwa lata dlatego też przyjęto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, że podane pojedyncze dane dotyczą ostatniego roku sprawozdawczego przed udzieleniem informacji</w:t>
      </w:r>
      <w:r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,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czyli tylko rok 2017, który będzie stanowił bazę dla analiz w kolejnych latach. </w:t>
      </w:r>
    </w:p>
    <w:p w:rsidR="00E44212" w:rsidRPr="007119A5" w:rsidRDefault="00E44212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</w:p>
    <w:p w:rsidR="008532C8" w:rsidRPr="007119A5" w:rsidRDefault="00F8128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2.1.1.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Liczba osób biernych zawodowo objętych wsparciem (szt.)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85790D" w:rsidRPr="007119A5" w:rsidTr="0085790D">
        <w:tc>
          <w:tcPr>
            <w:tcW w:w="2972" w:type="dxa"/>
          </w:tcPr>
          <w:p w:rsidR="0085790D" w:rsidRPr="007119A5" w:rsidRDefault="0085790D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85790D" w:rsidRPr="007119A5" w:rsidRDefault="0085790D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118" w:type="dxa"/>
          </w:tcPr>
          <w:p w:rsidR="0085790D" w:rsidRPr="007119A5" w:rsidRDefault="0085790D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85790D" w:rsidRPr="007119A5" w:rsidTr="0085790D">
        <w:tc>
          <w:tcPr>
            <w:tcW w:w="2972" w:type="dxa"/>
          </w:tcPr>
          <w:p w:rsidR="0085790D" w:rsidRPr="007119A5" w:rsidRDefault="0085790D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PCPR</w:t>
            </w:r>
          </w:p>
        </w:tc>
        <w:tc>
          <w:tcPr>
            <w:tcW w:w="2977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3118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366</w:t>
            </w:r>
          </w:p>
        </w:tc>
      </w:tr>
      <w:tr w:rsidR="0085790D" w:rsidRPr="007119A5" w:rsidTr="0085790D">
        <w:tc>
          <w:tcPr>
            <w:tcW w:w="2972" w:type="dxa"/>
          </w:tcPr>
          <w:p w:rsidR="0085790D" w:rsidRPr="007119A5" w:rsidRDefault="0085790D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Gminy OPS 2017</w:t>
            </w:r>
          </w:p>
        </w:tc>
        <w:tc>
          <w:tcPr>
            <w:tcW w:w="2977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3573</w:t>
            </w:r>
          </w:p>
        </w:tc>
      </w:tr>
    </w:tbl>
    <w:p w:rsidR="00F81285" w:rsidRPr="007119A5" w:rsidRDefault="00F81285" w:rsidP="00E44212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Wskaźnik </w:t>
      </w:r>
      <w:r w:rsidR="009A1F6A"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nie zsumowany, gdyż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mo</w:t>
      </w:r>
      <w:r w:rsidR="009A1F6A"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że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dublować liczbę osób, które mogą być ujmowane zarówno przez OPS jak i przez PCPR. </w:t>
      </w:r>
      <w:r w:rsidR="009A1F6A"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W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skazuje na liczbę osób objętych programem wsparcia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. N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ie wiemy czy jest to wsparcie edukacyjne mające na celu </w:t>
      </w:r>
      <w:r w:rsidR="009A1F6A"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zwiększenie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motywacj</w:t>
      </w:r>
      <w:r w:rsidR="009A1F6A"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i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do szukania zatrudnienia 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czy jest to wsparcie bytowe.</w:t>
      </w:r>
      <w:r w:rsidR="009A1F6A"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</w:t>
      </w:r>
    </w:p>
    <w:p w:rsidR="009A1F6A" w:rsidRPr="007119A5" w:rsidRDefault="009A1F6A" w:rsidP="00E44212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Mniejsza liczba osób biernych zawodowo objętych wsparciem PCPR w 2017 r. pozwala traktować analogicznie wskaźnik Gmin, który można przyjąć za mniejszy niż w 2016. Sytuacja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ta wiąże się z innym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i, przedstawionymi wcześniej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wskaźnikami związanymi z malejącym poziomem bezrobocia i mniejszym zainteresowaniem 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różnego rodzaju wsparciem w tym też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podnoszeniem kwalifikacji przez osoby bezrobotne. Jest to wynik ogólnokrajowej tendencji spadku bezrobocia.</w:t>
      </w:r>
    </w:p>
    <w:p w:rsidR="009A1F6A" w:rsidRPr="007119A5" w:rsidRDefault="009A1F6A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</w:p>
    <w:p w:rsidR="00184E93" w:rsidRPr="007119A5" w:rsidRDefault="00F8128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2.1.2.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Liczba osób zagrożonych ubóstwem lub wykluczeniem społecznym objętych wsparciem w programie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32C8" w:rsidRPr="007119A5" w:rsidTr="00D85DC2">
        <w:tc>
          <w:tcPr>
            <w:tcW w:w="3020" w:type="dxa"/>
          </w:tcPr>
          <w:p w:rsidR="008532C8" w:rsidRPr="007119A5" w:rsidRDefault="008532C8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8532C8" w:rsidRPr="007119A5" w:rsidRDefault="008532C8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8532C8" w:rsidRPr="007119A5" w:rsidRDefault="008532C8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85790D" w:rsidRPr="007119A5" w:rsidTr="00D85DC2">
        <w:tc>
          <w:tcPr>
            <w:tcW w:w="3020" w:type="dxa"/>
          </w:tcPr>
          <w:p w:rsidR="0085790D" w:rsidRPr="007119A5" w:rsidRDefault="0085790D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PCPR</w:t>
            </w:r>
          </w:p>
        </w:tc>
        <w:tc>
          <w:tcPr>
            <w:tcW w:w="3021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946</w:t>
            </w:r>
          </w:p>
        </w:tc>
        <w:tc>
          <w:tcPr>
            <w:tcW w:w="3021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913</w:t>
            </w:r>
          </w:p>
        </w:tc>
      </w:tr>
      <w:tr w:rsidR="0085790D" w:rsidRPr="007119A5" w:rsidTr="00D85DC2">
        <w:tc>
          <w:tcPr>
            <w:tcW w:w="3020" w:type="dxa"/>
          </w:tcPr>
          <w:p w:rsidR="0085790D" w:rsidRPr="007119A5" w:rsidRDefault="0085790D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Gminy OPS 2017</w:t>
            </w:r>
          </w:p>
        </w:tc>
        <w:tc>
          <w:tcPr>
            <w:tcW w:w="3021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85790D" w:rsidRPr="00CE39E5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8E0BBD"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E39E5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206</w:t>
            </w:r>
          </w:p>
        </w:tc>
      </w:tr>
    </w:tbl>
    <w:p w:rsidR="008532C8" w:rsidRPr="007119A5" w:rsidRDefault="009A1F6A" w:rsidP="00E44212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Strategia nie precyzuje jakiego typu jest to program i jakie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go typu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wsparcie beneficjenci otrzym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ują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ani 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też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jaki efekt to wsparcie ma dać. Jednakże w badanym okresie widać spadek tej licz</w:t>
      </w:r>
      <w:r w:rsidR="00596F21"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b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y w danych 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przedstawionych przez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PCPR, co można analogicznie przyjąć t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akże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dla danych 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z gmin. 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Tendencja ogólnokrajowa spadku </w:t>
      </w:r>
      <w:r w:rsidR="00DF30EA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liczby osób zagrożonych ubóstwem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</w:t>
      </w:r>
      <w:r w:rsidR="00DF30EA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lub wykluczeniem społeczny </w:t>
      </w:r>
      <w:r w:rsidR="00E44212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wiąże się z różnego rodzaju świadczeniami socjalnymi, które poprawiają sytuację bytową osobom je pobierającym. </w:t>
      </w:r>
      <w:r w:rsidR="00DF30EA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Ma to też odzwierciedlenie na terenie powiatu w danych PCPR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="00DF30EA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i jest tendencją pożądaną. Wszelkie programy i inicjatywy zmniejszające poziom wskaźnika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="00DF30EA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są pożądane.</w:t>
      </w:r>
    </w:p>
    <w:p w:rsidR="00184E93" w:rsidRPr="007119A5" w:rsidRDefault="00F8128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lastRenderedPageBreak/>
        <w:t xml:space="preserve">2.1.3.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Liczba osób zagrożonych ubóstwem lub wykluczeniem społecznym objętych usługami społecznymi świadczonymi w interesie ogólnym (szt.) </w:t>
      </w:r>
    </w:p>
    <w:p w:rsidR="008532C8" w:rsidRPr="007119A5" w:rsidRDefault="007D4244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Strategia nie precyzuje jaki to jest zakres usług.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32C8" w:rsidRPr="007119A5" w:rsidTr="00D85DC2">
        <w:tc>
          <w:tcPr>
            <w:tcW w:w="3020" w:type="dxa"/>
          </w:tcPr>
          <w:p w:rsidR="008532C8" w:rsidRPr="007119A5" w:rsidRDefault="008532C8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8532C8" w:rsidRPr="007119A5" w:rsidRDefault="008532C8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8532C8" w:rsidRPr="007119A5" w:rsidRDefault="008532C8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85790D" w:rsidRPr="007119A5" w:rsidTr="00D85DC2">
        <w:tc>
          <w:tcPr>
            <w:tcW w:w="3020" w:type="dxa"/>
          </w:tcPr>
          <w:p w:rsidR="0085790D" w:rsidRPr="007119A5" w:rsidRDefault="0085790D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PCPR</w:t>
            </w:r>
          </w:p>
        </w:tc>
        <w:tc>
          <w:tcPr>
            <w:tcW w:w="3021" w:type="dxa"/>
          </w:tcPr>
          <w:p w:rsidR="0085790D" w:rsidRPr="00C06967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069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021" w:type="dxa"/>
          </w:tcPr>
          <w:p w:rsidR="0085790D" w:rsidRPr="00C06967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069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55</w:t>
            </w:r>
          </w:p>
        </w:tc>
      </w:tr>
      <w:tr w:rsidR="0085790D" w:rsidRPr="007119A5" w:rsidTr="00D85DC2">
        <w:tc>
          <w:tcPr>
            <w:tcW w:w="3020" w:type="dxa"/>
          </w:tcPr>
          <w:p w:rsidR="0085790D" w:rsidRPr="007119A5" w:rsidRDefault="0085790D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Gminy OPS 2017</w:t>
            </w:r>
          </w:p>
        </w:tc>
        <w:tc>
          <w:tcPr>
            <w:tcW w:w="3021" w:type="dxa"/>
          </w:tcPr>
          <w:p w:rsidR="0085790D" w:rsidRPr="00C06967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85790D" w:rsidRPr="00C06967" w:rsidRDefault="0085790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069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3011</w:t>
            </w:r>
          </w:p>
        </w:tc>
      </w:tr>
    </w:tbl>
    <w:p w:rsidR="008532C8" w:rsidRPr="007119A5" w:rsidRDefault="00596F21" w:rsidP="009864C1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Strategia nie precyzuje jakiego typu są to usługi i jakie wsparcie mają beneficjenci otrzymać,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ani jaki efekt to wsparcie ma dać. W badanym okresie nie odnotowano zmiany tej licz</w:t>
      </w:r>
      <w:r w:rsidR="009C5DA3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b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y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 danych PCPR, co można rozumieć, jako potwierdzenie, że usługami </w:t>
      </w:r>
      <w:r w:rsidR="009864C1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społecznymi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objęto wszystkie potrzebujące osoby i ich liczba nie uleg</w:t>
      </w:r>
      <w:r w:rsidR="009864C1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a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zmianie. Można pokusić się na analogię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dla danych z gmin</w:t>
      </w:r>
      <w:r w:rsidR="009C5DA3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gdzie </w:t>
      </w:r>
      <w:r w:rsidR="009864C1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nie mamy podanych danych za 2016 r., ale interpolując wnioski</w:t>
      </w:r>
      <w:r w:rsidR="009C5DA3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można przyjąć, że poziom ten </w:t>
      </w:r>
      <w:r w:rsidR="009864C1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nie uległ znaczącej zmianie.</w:t>
      </w:r>
    </w:p>
    <w:p w:rsidR="00596F21" w:rsidRPr="007119A5" w:rsidRDefault="00596F21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</w:p>
    <w:p w:rsidR="007D4244" w:rsidRPr="007119A5" w:rsidRDefault="00596F21" w:rsidP="009864C1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Przegląd trzech wskaźników kształtujących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kierunek rozwoju „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Przeciwdziałanie wykluczeniu społecznemu” obejmuje dane PCPR i </w:t>
      </w:r>
      <w:proofErr w:type="spellStart"/>
      <w:r w:rsidRPr="007119A5">
        <w:rPr>
          <w:rFonts w:ascii="Garamond" w:hAnsi="Garamond"/>
          <w:color w:val="000000" w:themeColor="text1"/>
          <w:sz w:val="24"/>
          <w:szCs w:val="24"/>
        </w:rPr>
        <w:t>OPSów</w:t>
      </w:r>
      <w:proofErr w:type="spellEnd"/>
      <w:r w:rsidRPr="007119A5">
        <w:rPr>
          <w:rFonts w:ascii="Garamond" w:hAnsi="Garamond"/>
          <w:color w:val="000000" w:themeColor="text1"/>
          <w:sz w:val="24"/>
          <w:szCs w:val="24"/>
        </w:rPr>
        <w:t xml:space="preserve">. W oparciu o zmiany notowane w ramach PCPR można pokusić się o wniosek, że coraz mniej, bądź jest to stały poziom osób zgłaszających </w:t>
      </w:r>
      <w:r w:rsidR="009864C1">
        <w:rPr>
          <w:rFonts w:ascii="Garamond" w:hAnsi="Garamond"/>
          <w:color w:val="000000" w:themeColor="text1"/>
          <w:sz w:val="24"/>
          <w:szCs w:val="24"/>
        </w:rPr>
        <w:br/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się po wsparcie mające przeciwdziałać wykluczeniu społecznemu. To pozytywny efekt będący wynikiem sumy różnych czynników: koniunktury na rynku i spadku bezrobocia, świadczeń </w:t>
      </w:r>
      <w:r w:rsidR="009864C1">
        <w:rPr>
          <w:rFonts w:ascii="Garamond" w:hAnsi="Garamond"/>
          <w:color w:val="000000" w:themeColor="text1"/>
          <w:sz w:val="24"/>
          <w:szCs w:val="24"/>
        </w:rPr>
        <w:br/>
      </w:r>
      <w:r w:rsidRPr="007119A5">
        <w:rPr>
          <w:rFonts w:ascii="Garamond" w:hAnsi="Garamond"/>
          <w:color w:val="000000" w:themeColor="text1"/>
          <w:sz w:val="24"/>
          <w:szCs w:val="24"/>
        </w:rPr>
        <w:t>z programów pomocowych, zmniejszanie wykluczenia poprzez świadomość społeczną, itp.</w:t>
      </w:r>
    </w:p>
    <w:p w:rsidR="00596F21" w:rsidRPr="007119A5" w:rsidRDefault="00596F21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>Kierunek rozwoju 2: Kształtowanie i rozwój społeczeństwa obywatelskiego</w:t>
      </w:r>
    </w:p>
    <w:p w:rsidR="00184E93" w:rsidRPr="007119A5" w:rsidRDefault="009A1F6A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2.2.1.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projektów zrealizowanych w partnerstwie pomiędzy JST (szt.)</w:t>
      </w:r>
      <w:r w:rsidR="00CF12B1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bookmarkStart w:id="1" w:name="_GoBack"/>
            <w:bookmarkEnd w:id="1"/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9864C1" w:rsidTr="00D85DC2">
        <w:tc>
          <w:tcPr>
            <w:tcW w:w="3021" w:type="dxa"/>
          </w:tcPr>
          <w:p w:rsidR="00230C0A" w:rsidRPr="009864C1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864C1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21" w:type="dxa"/>
          </w:tcPr>
          <w:p w:rsidR="00230C0A" w:rsidRPr="009864C1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864C1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</w:tr>
    </w:tbl>
    <w:p w:rsidR="007D4244" w:rsidRPr="007119A5" w:rsidRDefault="00301EE0" w:rsidP="00493FAD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Wskaźnik ten, choć niski informuje nas o wyraźnej chęci gmin do współpracy w zakresie realizacji zadań, mimo, </w:t>
      </w:r>
      <w:r w:rsidR="00493FAD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ż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e często bywa to trudne, ale jak widać nie niemożliwe do wykonania.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 ile łatwiejsza </w:t>
      </w:r>
      <w:r w:rsidR="00493FAD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współpraca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wydaje się przy dwóch samorządach, o tyle przedsięwzięcia 3 lub więcej jednostek zdarzają się rzadziej. Strategia nie precyzuje czy analizujemy wszystkie przedsięwzięcia sformalizowane dokumentem „porozumienie” czy także wzajemne dotacje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na realizacje wspólnego celu np. inwestycji drogowej. Jednakże wzrost wskaźnika jest czynnikiem pozytywnym, gdyż w obecnym okresie programowania środków zarówno unijnych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jak i krajowych punktowane są projekty oparte na współpracy samorządów w zakresie zaspokojenia takich samych potrzeb na większym obszarze.</w:t>
      </w:r>
    </w:p>
    <w:p w:rsidR="00CF12B1" w:rsidRDefault="00CF12B1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853230" w:rsidRDefault="00853230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853230" w:rsidRDefault="00853230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853230" w:rsidRPr="007119A5" w:rsidRDefault="00853230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9A1F6A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bookmarkStart w:id="2" w:name="_Hlk520380345"/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2.2.2.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środków finansowych przeznaczanych na konkursy dla organizacji pozarządowych</w:t>
      </w:r>
      <w:bookmarkEnd w:id="2"/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(PLN)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12B1" w:rsidRPr="007119A5" w:rsidTr="00D85DC2">
        <w:tc>
          <w:tcPr>
            <w:tcW w:w="3020" w:type="dxa"/>
          </w:tcPr>
          <w:p w:rsidR="00CF12B1" w:rsidRPr="007119A5" w:rsidRDefault="00CF12B1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CF12B1" w:rsidRPr="007119A5" w:rsidRDefault="00CF12B1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CF12B1" w:rsidRPr="007119A5" w:rsidRDefault="00CF12B1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CF12B1" w:rsidRPr="00853230" w:rsidTr="00D85DC2">
        <w:tc>
          <w:tcPr>
            <w:tcW w:w="3020" w:type="dxa"/>
          </w:tcPr>
          <w:p w:rsidR="00CF12B1" w:rsidRPr="00853230" w:rsidRDefault="00DF2DAC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Gminy</w:t>
            </w:r>
          </w:p>
        </w:tc>
        <w:tc>
          <w:tcPr>
            <w:tcW w:w="3021" w:type="dxa"/>
          </w:tcPr>
          <w:p w:rsidR="00CF12B1" w:rsidRPr="00853230" w:rsidRDefault="00CF12B1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DF2DAC"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 883 781,80</w:t>
            </w:r>
          </w:p>
        </w:tc>
        <w:tc>
          <w:tcPr>
            <w:tcW w:w="3021" w:type="dxa"/>
          </w:tcPr>
          <w:p w:rsidR="00CF12B1" w:rsidRPr="00853230" w:rsidRDefault="00CF12B1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DF2DAC"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 926 124,90</w:t>
            </w:r>
          </w:p>
        </w:tc>
      </w:tr>
      <w:tr w:rsidR="00DF2DAC" w:rsidRPr="00853230" w:rsidTr="00380B0F">
        <w:tc>
          <w:tcPr>
            <w:tcW w:w="3020" w:type="dxa"/>
            <w:tcBorders>
              <w:bottom w:val="single" w:sz="4" w:space="0" w:color="A5A5A5" w:themeColor="accent3"/>
            </w:tcBorders>
          </w:tcPr>
          <w:p w:rsidR="00DF2DAC" w:rsidRDefault="00DF2DAC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Powiat</w:t>
            </w:r>
          </w:p>
          <w:p w:rsidR="00927E76" w:rsidRPr="00853230" w:rsidRDefault="00C06967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927E76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tym:</w:t>
            </w:r>
          </w:p>
        </w:tc>
        <w:tc>
          <w:tcPr>
            <w:tcW w:w="3021" w:type="dxa"/>
            <w:tcBorders>
              <w:bottom w:val="single" w:sz="4" w:space="0" w:color="A5A5A5" w:themeColor="accent3"/>
            </w:tcBorders>
          </w:tcPr>
          <w:p w:rsidR="00DF2DAC" w:rsidRPr="00853230" w:rsidRDefault="00DF2DAC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1 9</w:t>
            </w:r>
            <w:r w:rsidR="00C069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83451,05</w:t>
            </w:r>
          </w:p>
        </w:tc>
        <w:tc>
          <w:tcPr>
            <w:tcW w:w="3021" w:type="dxa"/>
            <w:tcBorders>
              <w:bottom w:val="single" w:sz="4" w:space="0" w:color="A5A5A5" w:themeColor="accent3"/>
            </w:tcBorders>
          </w:tcPr>
          <w:p w:rsidR="00DF2DAC" w:rsidRPr="00853230" w:rsidRDefault="00C0696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2 124 631,9</w:t>
            </w:r>
            <w:r w:rsidR="00DF2DAC" w:rsidRPr="00853230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  <w:tr w:rsidR="00927E76" w:rsidRPr="00853230" w:rsidTr="00380B0F">
        <w:tc>
          <w:tcPr>
            <w:tcW w:w="302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927E76" w:rsidRPr="00853230" w:rsidRDefault="00C06967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środki własne </w:t>
            </w:r>
          </w:p>
        </w:tc>
        <w:tc>
          <w:tcPr>
            <w:tcW w:w="302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927E76" w:rsidRPr="00853230" w:rsidRDefault="00C0696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903 871,05</w:t>
            </w:r>
          </w:p>
        </w:tc>
        <w:tc>
          <w:tcPr>
            <w:tcW w:w="302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927E76" w:rsidRPr="00853230" w:rsidRDefault="00C0696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1 040 723,33</w:t>
            </w:r>
          </w:p>
        </w:tc>
      </w:tr>
      <w:tr w:rsidR="00927E76" w:rsidRPr="00853230" w:rsidTr="00380B0F">
        <w:tc>
          <w:tcPr>
            <w:tcW w:w="3020" w:type="dxa"/>
            <w:tcBorders>
              <w:top w:val="single" w:sz="4" w:space="0" w:color="A5A5A5" w:themeColor="accent3"/>
            </w:tcBorders>
          </w:tcPr>
          <w:p w:rsidR="00927E76" w:rsidRPr="00853230" w:rsidRDefault="00C06967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środki Urzędu Wojewódzkiego</w:t>
            </w:r>
          </w:p>
        </w:tc>
        <w:tc>
          <w:tcPr>
            <w:tcW w:w="3021" w:type="dxa"/>
            <w:tcBorders>
              <w:top w:val="single" w:sz="4" w:space="0" w:color="A5A5A5" w:themeColor="accent3"/>
            </w:tcBorders>
          </w:tcPr>
          <w:p w:rsidR="00927E76" w:rsidRPr="00853230" w:rsidRDefault="00C0696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1 079 580,00</w:t>
            </w:r>
          </w:p>
        </w:tc>
        <w:tc>
          <w:tcPr>
            <w:tcW w:w="3021" w:type="dxa"/>
            <w:tcBorders>
              <w:top w:val="single" w:sz="4" w:space="0" w:color="A5A5A5" w:themeColor="accent3"/>
            </w:tcBorders>
          </w:tcPr>
          <w:p w:rsidR="00927E76" w:rsidRPr="00853230" w:rsidRDefault="00C0696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1 083 908,58</w:t>
            </w:r>
          </w:p>
        </w:tc>
      </w:tr>
    </w:tbl>
    <w:p w:rsidR="00C73EBF" w:rsidRDefault="00301EE0" w:rsidP="00067621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Informacje podane przez Gminy wskazują na wzrost wskaźnika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 tym samym 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pokazuj</w:t>
      </w:r>
      <w:r w:rsidR="00380B0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ą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że gminy coraz chętniej angażują do realizacji zadań organizacje pozarządowe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i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społeczne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aktywizując 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 angażując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tym samym mieszkańców do aktywnego uczestnictwa w kształtowaniu otoczenia, wydarzeń, itp.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Wspierają t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ym samym 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rozwój 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społeczeństw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obywatelskie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go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mające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go 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wpływ na otaczającą 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je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najbliższą codzienną rzeczywistość. 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Niezależnie czy są to duże inicjatywy jak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budżety obywatelskie, czy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mniejsze w formie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otwart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ych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ów</w:t>
      </w:r>
      <w:r w:rsidR="00A82B7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ofert dla organizacji pozarządowych</w:t>
      </w:r>
      <w:r w:rsidR="008532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 są to działania niezbędne dla stworzenia pola bezpośredniej współpracy samorządów z mieszkańcami.</w:t>
      </w:r>
    </w:p>
    <w:p w:rsidR="00380B0F" w:rsidRDefault="00380B0F" w:rsidP="00067621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Powiat także zwiększył środki na realizację zadań w ramach konkursów dla organizacji pozarządowych. O ile środki na zadania zlecone ze strony Urzędu Wojewódzkiego </w:t>
      </w:r>
      <w:r w:rsidR="001059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2017 r. pozostały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na </w:t>
      </w:r>
      <w:r w:rsidR="001059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poziomie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zbliżonym</w:t>
      </w:r>
      <w:r w:rsidR="001059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do osiągniętego w 2016 r.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o tyle można zaobserwować 15 % wzrost poziomu zaangażowania środków własnych Powiatu. Potwierdza to rosnący zakres współpracy z sektorem niepublicznym, </w:t>
      </w:r>
      <w:r w:rsidR="007F1DB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obrazujący coraz większe zaangażowanie społeczeństwa </w:t>
      </w:r>
      <w:r w:rsidR="001059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7F1DB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 sprawy bezpośrednio go dotyczące.</w:t>
      </w:r>
      <w:r w:rsidR="001059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7F1DB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Jest to tendencja wysoce pożądana i należy utrzymać </w:t>
      </w:r>
      <w:r w:rsidR="001059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7F1DB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j</w:t>
      </w:r>
      <w:r w:rsidR="001059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ą</w:t>
      </w:r>
      <w:r w:rsidR="007F1DB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w latach następnych.</w:t>
      </w:r>
    </w:p>
    <w:p w:rsidR="00DF2DAC" w:rsidRPr="007119A5" w:rsidRDefault="00DF2DAC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DF2DAC" w:rsidRPr="007119A5" w:rsidRDefault="00DF2DAC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3D1F15" w:rsidRPr="007119A5" w:rsidRDefault="003D1F15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  <w:sectPr w:rsidR="003D1F15" w:rsidRPr="007119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lastRenderedPageBreak/>
        <w:t>Cel strategiczny 3: ROZWÓJ INFRASTRUKTURY SPOŁECZNEJ I TECHNICZNEJ W POWIECIE</w:t>
      </w:r>
    </w:p>
    <w:p w:rsidR="00C73EBF" w:rsidRPr="007119A5" w:rsidRDefault="00C73EBF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Kierunek rozwoju 1: </w:t>
      </w: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  <w:t>Rozwój infrastruktury edukacji i kultury powiatu wołomińskiego</w:t>
      </w:r>
    </w:p>
    <w:p w:rsidR="00184E93" w:rsidRPr="007119A5" w:rsidRDefault="00E35DD5" w:rsidP="00975CBE">
      <w:pPr>
        <w:spacing w:after="120" w:line="276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3.1.1. </w:t>
      </w:r>
      <w:r w:rsidR="00184E93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Liczba usług publicznych udostępnionych on-line o stopniu dojrzałości 3 </w:t>
      </w:r>
      <w:r w:rsidR="00975CBE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="00184E93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- dwustronna interakcja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7119A5" w:rsidTr="00D85DC2">
        <w:tc>
          <w:tcPr>
            <w:tcW w:w="3021" w:type="dxa"/>
          </w:tcPr>
          <w:p w:rsidR="00230C0A" w:rsidRPr="00F129C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29C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21" w:type="dxa"/>
          </w:tcPr>
          <w:p w:rsidR="00230C0A" w:rsidRPr="00F129C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29C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</w:tr>
    </w:tbl>
    <w:p w:rsidR="00D85DC2" w:rsidRPr="003F0F30" w:rsidRDefault="00583D24" w:rsidP="003F0F30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FF0000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Nie wszystkie gminy świadczą usługi tego typu. Zero usług w stopniu dojrzałości 3 wykazały Dąbrówka, Jadów, Poświętne, Strachówka, Tłuszcz, czyli gminy o charakterze wiejskim (poza miastem Tłuszcz). </w:t>
      </w:r>
      <w:r w:rsidR="00FD3AC8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Jako najczęstsze usługi wskazano dzienniki elektroniczne i systemy obsługi bibliotek. Rozwój e-usług w gminach miejs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kich</w:t>
      </w:r>
      <w:r w:rsidR="00FD3AC8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nie dziwi, jest pociągany przez mieszkańców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 którzy są lepiej wykształceni i mają szerszy kontakt ze świadczeniami realizowanymi drogą elektroniczną</w:t>
      </w:r>
      <w:r w:rsidR="00FD3AC8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 Klembów</w:t>
      </w:r>
      <w:r w:rsidR="003F0F30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, który wykazał 1 usługę w 2016 r. </w:t>
      </w:r>
      <w:r w:rsidR="009C5DA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3</w:t>
      </w:r>
      <w:r w:rsidR="009C5DA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w 20</w:t>
      </w:r>
      <w:r w:rsidR="003F0F30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17 r.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jest znakomitym</w:t>
      </w:r>
      <w:r w:rsidR="00FD3AC8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przykładem dla gmin wiejskich, że usługi on-line są pożądane i potrzebne, oraz często skracają czas załatwiana sprawy.</w:t>
      </w:r>
      <w:r w:rsidR="003F0F30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3F0F30" w:rsidRDefault="003F0F3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184E93" w:rsidRPr="007119A5" w:rsidRDefault="003F0F3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E35DD5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.1.2. </w:t>
      </w:r>
      <w:r w:rsidR="00184E93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Zmniejszenie rocznego zużycia energii pierwotnej w budynkach publicznych (kWh/rok)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5DC2" w:rsidRPr="007119A5" w:rsidTr="00D85DC2">
        <w:tc>
          <w:tcPr>
            <w:tcW w:w="3020" w:type="dxa"/>
          </w:tcPr>
          <w:p w:rsidR="00D85DC2" w:rsidRPr="007119A5" w:rsidRDefault="00D85DC2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3A4050" w:rsidRPr="005C4CCF" w:rsidTr="005C4CCF">
        <w:tc>
          <w:tcPr>
            <w:tcW w:w="3020" w:type="dxa"/>
            <w:tcBorders>
              <w:right w:val="single" w:sz="4" w:space="0" w:color="auto"/>
            </w:tcBorders>
          </w:tcPr>
          <w:p w:rsidR="003A4050" w:rsidRPr="005C4CCF" w:rsidRDefault="003A4050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CCF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Klembów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050" w:rsidRPr="005C4CCF" w:rsidRDefault="003A4050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5C4CCF">
              <w:rPr>
                <w:rFonts w:ascii="Garamond" w:hAnsi="Garamond" w:cs="Calibri"/>
                <w:color w:val="000000" w:themeColor="text1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050" w:rsidRPr="005C4CCF" w:rsidRDefault="003A4050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5C4CCF">
              <w:rPr>
                <w:rFonts w:ascii="Garamond" w:hAnsi="Garamond" w:cs="Calibri"/>
                <w:color w:val="000000" w:themeColor="text1"/>
              </w:rPr>
              <w:t>594</w:t>
            </w:r>
            <w:r w:rsidR="009C5DA3">
              <w:rPr>
                <w:rFonts w:ascii="Garamond" w:hAnsi="Garamond" w:cs="Calibri"/>
                <w:color w:val="000000" w:themeColor="text1"/>
              </w:rPr>
              <w:t xml:space="preserve"> </w:t>
            </w:r>
            <w:r w:rsidRPr="005C4CCF">
              <w:rPr>
                <w:rFonts w:ascii="Garamond" w:hAnsi="Garamond" w:cs="Calibri"/>
                <w:color w:val="000000" w:themeColor="text1"/>
              </w:rPr>
              <w:t>923</w:t>
            </w:r>
          </w:p>
        </w:tc>
      </w:tr>
      <w:tr w:rsidR="00583D24" w:rsidRPr="005C4CCF" w:rsidTr="005C4CCF">
        <w:tc>
          <w:tcPr>
            <w:tcW w:w="3020" w:type="dxa"/>
            <w:tcBorders>
              <w:right w:val="single" w:sz="4" w:space="0" w:color="auto"/>
            </w:tcBorders>
          </w:tcPr>
          <w:p w:rsidR="00583D24" w:rsidRPr="005C4CCF" w:rsidRDefault="00583D24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CCF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Kobyłka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24" w:rsidRPr="005C4CCF" w:rsidRDefault="00583D24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5C4CCF">
              <w:rPr>
                <w:rFonts w:ascii="Garamond" w:hAnsi="Garamond" w:cs="Calibri"/>
                <w:color w:val="000000" w:themeColor="text1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24" w:rsidRPr="005C4CCF" w:rsidRDefault="004646F6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 xml:space="preserve">  </w:t>
            </w:r>
            <w:r w:rsidR="00583D24" w:rsidRPr="005C4CCF">
              <w:rPr>
                <w:rFonts w:ascii="Garamond" w:hAnsi="Garamond" w:cs="Calibri"/>
                <w:color w:val="000000" w:themeColor="text1"/>
              </w:rPr>
              <w:t>92</w:t>
            </w:r>
            <w:r w:rsidR="009C5DA3">
              <w:rPr>
                <w:rFonts w:ascii="Garamond" w:hAnsi="Garamond" w:cs="Calibri"/>
                <w:color w:val="000000" w:themeColor="text1"/>
              </w:rPr>
              <w:t xml:space="preserve"> </w:t>
            </w:r>
            <w:r w:rsidR="00583D24" w:rsidRPr="005C4CCF">
              <w:rPr>
                <w:rFonts w:ascii="Garamond" w:hAnsi="Garamond" w:cs="Calibri"/>
                <w:color w:val="000000" w:themeColor="text1"/>
              </w:rPr>
              <w:t>970</w:t>
            </w:r>
          </w:p>
        </w:tc>
      </w:tr>
      <w:tr w:rsidR="003A4050" w:rsidRPr="005C4CCF" w:rsidTr="005C4CCF">
        <w:tc>
          <w:tcPr>
            <w:tcW w:w="3020" w:type="dxa"/>
            <w:tcBorders>
              <w:right w:val="single" w:sz="4" w:space="0" w:color="auto"/>
            </w:tcBorders>
          </w:tcPr>
          <w:p w:rsidR="003A4050" w:rsidRPr="005C4CCF" w:rsidRDefault="003A4050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CCF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Wołomin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050" w:rsidRPr="005C4CCF" w:rsidRDefault="003A4050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5C4CCF">
              <w:rPr>
                <w:rFonts w:ascii="Garamond" w:hAnsi="Garamond" w:cs="Calibri"/>
                <w:color w:val="000000" w:themeColor="text1"/>
              </w:rPr>
              <w:t>189</w:t>
            </w:r>
            <w:r w:rsidR="009C5DA3">
              <w:rPr>
                <w:rFonts w:ascii="Garamond" w:hAnsi="Garamond" w:cs="Calibri"/>
                <w:color w:val="000000" w:themeColor="text1"/>
              </w:rPr>
              <w:t xml:space="preserve"> </w:t>
            </w:r>
            <w:r w:rsidRPr="005C4CCF">
              <w:rPr>
                <w:rFonts w:ascii="Garamond" w:hAnsi="Garamond" w:cs="Calibri"/>
                <w:color w:val="000000" w:themeColor="text1"/>
              </w:rPr>
              <w:t>128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050" w:rsidRPr="005C4CCF" w:rsidRDefault="003A4050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5C4CCF">
              <w:rPr>
                <w:rFonts w:ascii="Garamond" w:hAnsi="Garamond" w:cs="Calibri"/>
                <w:color w:val="000000" w:themeColor="text1"/>
              </w:rPr>
              <w:t>197</w:t>
            </w:r>
            <w:r w:rsidR="009C5DA3">
              <w:rPr>
                <w:rFonts w:ascii="Garamond" w:hAnsi="Garamond" w:cs="Calibri"/>
                <w:color w:val="000000" w:themeColor="text1"/>
              </w:rPr>
              <w:t xml:space="preserve"> </w:t>
            </w:r>
            <w:r w:rsidRPr="005C4CCF">
              <w:rPr>
                <w:rFonts w:ascii="Garamond" w:hAnsi="Garamond" w:cs="Calibri"/>
                <w:color w:val="000000" w:themeColor="text1"/>
              </w:rPr>
              <w:t>437</w:t>
            </w:r>
          </w:p>
        </w:tc>
      </w:tr>
    </w:tbl>
    <w:p w:rsidR="00D85DC2" w:rsidRPr="007119A5" w:rsidRDefault="00583D24" w:rsidP="003F0F30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Dane podane przez trzy gminy świadczą o tym, iż polityka zmniejszania wykorzystania energii pierwotnej w budynkach użyteczności publicznej </w:t>
      </w:r>
      <w:r w:rsidR="00370237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świadczących usługi edukacyjne i kulturalne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370237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ni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e jest powszechnie stosowana, </w:t>
      </w:r>
      <w:r w:rsidR="00370237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a gminy i </w:t>
      </w:r>
      <w:r w:rsidR="009C5DA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zarządcy obiektów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nie prowadzą statystyk i analiz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 tym kierunku. Tendencja pożądaną jest stosowanie rozwiązań dążących do ograniczania zużycia energii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wraz z rozwojem i dostępnością technologii energooszczędnych. </w:t>
      </w:r>
      <w:r w:rsidR="00370237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iezbędne jest doprecyzowanie wskaźnika i źródeł pochodzenia danych do jego analizy.  </w:t>
      </w:r>
    </w:p>
    <w:p w:rsidR="003F0F30" w:rsidRDefault="003F0F30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85DC2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3.1.3. </w:t>
      </w:r>
      <w:r w:rsidR="00184E93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Liczba zmodernizowanych energetycznie budynków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435A22" w:rsidTr="00D85DC2"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</w:tr>
    </w:tbl>
    <w:p w:rsidR="00D85DC2" w:rsidRDefault="00D11182" w:rsidP="00BA576B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Wskaźnik obrazuje, iż 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po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mimo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faktu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, że prawie 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żadna gmina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nie liczy poziomu zmniejszenia zużycia energii, to podejmowane są intensywne starania i liczne inwestycje, mające 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na celu zmniejszenie tego zapotrzebowania.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Jest to bardzo pozytywne 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i pożądane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zjawisko, 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gdyż kompleksowa modernizacja energetyczna budynków przyczyni się do ograniczania </w:t>
      </w:r>
      <w:r w:rsidR="00936A4C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emisji </w:t>
      </w:r>
      <w:r w:rsidR="00936A4C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szkodliwych pyłów do atmosfery, oraz przyczyni się do ograniczenia kosztów ponoszonych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na zapewnienie </w:t>
      </w:r>
      <w:r w:rsidR="00936A4C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energi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i</w:t>
      </w:r>
      <w:r w:rsidR="00936A4C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i ciepł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a w budynkach infrastruktury edukacji i kultury</w:t>
      </w:r>
      <w:r w:rsidR="009C5DA3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 opieki zdrowotnej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na obszarze powiatu.</w:t>
      </w:r>
    </w:p>
    <w:p w:rsidR="00BA576B" w:rsidRPr="007119A5" w:rsidRDefault="00BA576B" w:rsidP="00BA576B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 xml:space="preserve">3.1.4. </w:t>
      </w:r>
      <w:r w:rsidR="00184E93" w:rsidRPr="007119A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Liczba instytucji kultury objętych wsparciem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435A22" w:rsidTr="00D85DC2"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13</w:t>
            </w:r>
          </w:p>
        </w:tc>
      </w:tr>
    </w:tbl>
    <w:p w:rsidR="00D85DC2" w:rsidRDefault="007119A5" w:rsidP="00975CBE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Strategia nie podaje jakiego typu ma to być wsparcie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Czy 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wsparcie to ma obejmować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środki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od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organu prowadzącego, czy pozyskane środki zewnętrzne z różnych źródeł, czy środki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od sponsorów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, itp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 Wskaźnik w badanym okresie</w:t>
      </w:r>
      <w:r w:rsidR="00BA576B" w:rsidRP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A576B"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wykazuje wzrost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. Wiadomo także, że liczba instytucji tego typu jest stała bądź podlega nieznacznym rzadkim zmianom. Zatem określenie liczby instytucji określi maksymalną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możliwą do osiągnięcia 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wartość wskaźnika. Warto przyjrzeć się także wsparciu, czy jest ono stałe czy tylko na pojedyncze inicjatywy, czy to tylko środki własne samorządów czy także środki zewnętrzne</w:t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 i jaką wartość dają w przeliczeniu </w:t>
      </w:r>
      <w:r w:rsidR="00975CBE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="00BA576B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>na mieszkańca gminy/powiatu</w:t>
      </w:r>
      <w:r w:rsidRPr="007119A5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:rsidR="00975CBE" w:rsidRPr="007119A5" w:rsidRDefault="00975CBE" w:rsidP="00975CBE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Kierunek rozwoju 2: </w:t>
      </w:r>
      <w:r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t>Rozwój infrastruktury społecznej i zdrowotnej powiatu wołomińskiego</w:t>
      </w: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3.2.1.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Zmniejszenie rocznego zużycia energii pierwotnej w budynkach publicznych (kWh/rok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5DC2" w:rsidRPr="007119A5" w:rsidTr="00D85DC2">
        <w:tc>
          <w:tcPr>
            <w:tcW w:w="3020" w:type="dxa"/>
          </w:tcPr>
          <w:p w:rsidR="00D85DC2" w:rsidRPr="007119A5" w:rsidRDefault="00D85DC2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D23ABC" w:rsidRPr="00435A22" w:rsidTr="00BA576B">
        <w:tc>
          <w:tcPr>
            <w:tcW w:w="3020" w:type="dxa"/>
            <w:tcBorders>
              <w:right w:val="single" w:sz="4" w:space="0" w:color="auto"/>
            </w:tcBorders>
          </w:tcPr>
          <w:p w:rsidR="00D23ABC" w:rsidRPr="00435A22" w:rsidRDefault="00D23ABC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Wołomin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ABC" w:rsidRPr="00435A22" w:rsidRDefault="00D23ABC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  <w:sz w:val="24"/>
                <w:szCs w:val="24"/>
              </w:rPr>
            </w:pPr>
            <w:r w:rsidRPr="00435A22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189</w:t>
            </w:r>
            <w:r w:rsidR="009C5DA3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435A22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ABC" w:rsidRPr="00435A22" w:rsidRDefault="00D23ABC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  <w:sz w:val="24"/>
                <w:szCs w:val="24"/>
              </w:rPr>
            </w:pPr>
            <w:r w:rsidRPr="00435A22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197</w:t>
            </w:r>
            <w:r w:rsidR="009C5DA3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435A22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437</w:t>
            </w:r>
          </w:p>
        </w:tc>
      </w:tr>
      <w:tr w:rsidR="00936A4C" w:rsidRPr="00435A22" w:rsidTr="00BA576B">
        <w:tc>
          <w:tcPr>
            <w:tcW w:w="3020" w:type="dxa"/>
            <w:tcBorders>
              <w:right w:val="single" w:sz="4" w:space="0" w:color="auto"/>
            </w:tcBorders>
          </w:tcPr>
          <w:p w:rsidR="00936A4C" w:rsidRPr="00435A22" w:rsidRDefault="00936A4C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Kobyłka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4C" w:rsidRPr="00435A22" w:rsidRDefault="00936A4C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4C" w:rsidRPr="00435A22" w:rsidRDefault="004646F6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 </w:t>
            </w:r>
            <w:r w:rsidR="00936A4C" w:rsidRPr="00435A22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13</w:t>
            </w:r>
            <w:r w:rsidR="009C5DA3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936A4C" w:rsidRPr="00435A22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D85DC2" w:rsidRPr="007119A5" w:rsidRDefault="00936A4C" w:rsidP="00435A22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Wskaźnik uznany przez większość gmin za powtórzony, Wołomin pokusił się na powielenie wpisu z poprzedniej kategorii, natomiast Kobyłka podała </w:t>
      </w:r>
      <w:r w:rsidR="00BA576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dla wskaźnika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wartość za rok 2017. Dane podane przez dwie gminy świadczą o tym, iż podobnie jak przy budynkach edukacyjnych 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 kulturowych, polityka zmniejszania wykorzystania energii pierwotnej w budynkach użyteczności publicznej świadczących usługi społeczne i zdrowotne nie jest powszechnie stosowana, a gminy 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 obiekty nie prowadzą statystyk i analiz w tym kierunku. Tendencja pożądaną jest stosowanie rozwiązań dążących do ograniczania zużycia energii wraz z rozwojem i dostępnością technologii energooszczędnych. Niezbędne jest doprecyzowanie nazwy wskaźnika i źródeł pochodzenia danych do jego analizy</w:t>
      </w:r>
      <w:r w:rsidR="00BA576B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 abyśmy mieli prawdziwy obraz problemu. Warto dodać, iż zmniejszenie zapotrzebowania energetycznego jest najwyraźniej widoczne w przypadku zrealizowania przedsięwzięć termomodernizacyjnych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które to w wielu instytucjach były przeprowadzane 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  <w:t>w latach ubiegłych. Oznacza to, że w wielu przypadkach nie będzie obserwowane zmniejszenie zużycia energii a raczej drobne wahania wokół osiągniętego już poziomu.</w:t>
      </w:r>
    </w:p>
    <w:p w:rsidR="00936A4C" w:rsidRDefault="00936A4C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975CBE" w:rsidRPr="007119A5" w:rsidRDefault="00975CBE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3.2.2.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zmodernizowanych energetycznie budynków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435A22" w:rsidTr="00D85DC2"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</w:tbl>
    <w:p w:rsidR="00D85DC2" w:rsidRPr="007119A5" w:rsidRDefault="003F1023" w:rsidP="00435A22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Odpowiedź udzielona tylko przez Wołomin</w:t>
      </w:r>
      <w:r w:rsidR="00936A4C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i Kobyłkę.</w:t>
      </w:r>
      <w:r w:rsidR="00020F79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Należy mieć na uwadze fakt, że budynki opieki zdrowotnej najczęściej znajdują się w rękach prywatnych inwestorów, dlatego przeprowadzane tam remonty i modernizacje energetyczne nie są rejestrowane przez gminy jako inwestycje termomodernizacyjne przynoszące wymierny efekt ekologiczny w postaci zmniejszonego zużycia energii. Natomiast obiekty infrastruktury społecznej przeważnie 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020F79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są obiektami których właścicielami są samorządy, jednak część tych placówek ma siedziby 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020F79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 obiektach wynajmowanych od posiadaczy prywatnych, co ogranicza możliwości modernizacji energetycznych.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435A22" w:rsidRP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Warto dodać, iż zmniejszenie zapotrzebowania energetycznego jest najwyraźniej widoczne w przypadku zrealizowania przedsięwzięć termomodernizacyjnych, które to w wielu instytucjach były przeprowadzane w latach ubiegłych. Oznacza to, że w wielu przypadkach 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435A22" w:rsidRP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nie będzie obserwowane zmniejszenie zużycia energii a raczej drobne wahania wokół osiągniętego </w:t>
      </w:r>
      <w:r w:rsid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już </w:t>
      </w:r>
      <w:r w:rsidR="00435A22" w:rsidRPr="00435A22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poziomu.</w:t>
      </w:r>
    </w:p>
    <w:p w:rsidR="00020F79" w:rsidRPr="007119A5" w:rsidRDefault="00020F79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3.2.3.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wspartych podmiotów leczniczych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435A22" w:rsidTr="00D85DC2"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21" w:type="dxa"/>
          </w:tcPr>
          <w:p w:rsidR="00230C0A" w:rsidRPr="00435A22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35A22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</w:tr>
    </w:tbl>
    <w:p w:rsidR="003F1023" w:rsidRPr="007119A5" w:rsidRDefault="003F1023" w:rsidP="00400FA8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Strategia nie precyzuje o jakim wsparciu mowa</w:t>
      </w:r>
      <w:r w:rsidR="00400FA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czy tylko ze strony organu </w:t>
      </w:r>
      <w:r w:rsidR="00400FA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założycielskiego,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400FA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czy także ze strony inwestorów </w:t>
      </w:r>
      <w:r w:rsidR="00400FA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 partnerów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prywatnych współpracujących z gminami w zakresie zapewnienia usług zdrowotnych, bądź pozyskanych środków zewnętrznych na rozwój świadczonych usług. Warto jednak zauważyć, że wzrost wskaźnika, wskazuje na coraz większą uwagę, jaką gospodarze gmin i powiatu przykładają do roli podmiotów leczniczych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codziennym życiu mieszkańców. Wspieranie ich i dbałość o jakość świadczonych usług jest wysoce niezbędne i pożądane, by zaspokoić potrzeby społeczeństwa. </w:t>
      </w:r>
    </w:p>
    <w:p w:rsidR="003F1023" w:rsidRPr="007119A5" w:rsidRDefault="003F1023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3.2.4.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Powierzchnia obszarów objętych rewitalizacją (ha)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400FA8" w:rsidTr="00D85DC2">
        <w:tc>
          <w:tcPr>
            <w:tcW w:w="3021" w:type="dxa"/>
          </w:tcPr>
          <w:p w:rsidR="00230C0A" w:rsidRPr="00400FA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00FA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256,45</w:t>
            </w:r>
          </w:p>
        </w:tc>
        <w:tc>
          <w:tcPr>
            <w:tcW w:w="3021" w:type="dxa"/>
          </w:tcPr>
          <w:p w:rsidR="00230C0A" w:rsidRPr="00400FA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00FA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400FA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293,26</w:t>
            </w:r>
          </w:p>
        </w:tc>
      </w:tr>
    </w:tbl>
    <w:p w:rsidR="00D85DC2" w:rsidRPr="007119A5" w:rsidRDefault="00D8778E" w:rsidP="001D21DC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Wskaźnik wykazujący duży wzrost, co wynika z realizacji projektu związanego z przygotowaniem i wprowadzeniem planów rewitalizacji przez miasta i gminy w województwie mazowieckim. Gminy są w trakcie realizacji </w:t>
      </w:r>
      <w:r w:rsidR="003F102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planów rewitalizacji, przygotowanych w ramach konkursu RPO WM 2014-2020 ze środków Pomocy Technicznej. Plany zakładają kompleksową rewitalizację obszarów zdegradowanych i mus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zą</w:t>
      </w:r>
      <w:r w:rsidR="003F102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przede wszystkim pobudzać aktywność środowisk lokalnych 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  <w:t>oraz</w:t>
      </w:r>
      <w:r w:rsidR="003F102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stymulować współpracę na rzecz rozwoju społeczno-gospodarczego, a także przeciwdziałać zjawisku wykluczenia w obszarach zagrożonych patologiami społecznymi. Działania te w efekcie powinny przyczynić się do ożywienia rewitalizowanych obszarów, nadania im nowych funkcji, </w:t>
      </w:r>
      <w:r w:rsidR="003F102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lastRenderedPageBreak/>
        <w:t>podniesienia ich atrakcyjności, co w konsekwencji wiązać się będzie ze zwiększeniem zainteresowania tym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</w:t>
      </w:r>
      <w:r w:rsidR="003F102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obszar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ami</w:t>
      </w:r>
      <w:r w:rsidR="003F1023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mieszkańców a także turystów i inwestorów.</w:t>
      </w:r>
    </w:p>
    <w:p w:rsidR="00184E93" w:rsidRPr="007119A5" w:rsidRDefault="00184E93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Kierunek rozwoju 3: </w:t>
      </w:r>
      <w:r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t>Rozbudowa i modernizacja powiatowej infrastruktury drogowej oraz poprawa powiązań komunikacyjnych powiatu wołomińskiego</w:t>
      </w: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3.3.1.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Długość wybudowanych lub przebudowanych dróg dla rowerów (km)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1D30FA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1D21DC" w:rsidTr="001D30FA">
        <w:trPr>
          <w:trHeight w:val="70"/>
        </w:trPr>
        <w:tc>
          <w:tcPr>
            <w:tcW w:w="3021" w:type="dxa"/>
          </w:tcPr>
          <w:p w:rsidR="00230C0A" w:rsidRPr="001D21DC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21D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6,738</w:t>
            </w:r>
          </w:p>
        </w:tc>
        <w:tc>
          <w:tcPr>
            <w:tcW w:w="3021" w:type="dxa"/>
          </w:tcPr>
          <w:p w:rsidR="00230C0A" w:rsidRPr="001D21DC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21D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7,950</w:t>
            </w:r>
          </w:p>
        </w:tc>
      </w:tr>
    </w:tbl>
    <w:p w:rsidR="00D85DC2" w:rsidRPr="007119A5" w:rsidRDefault="008039B2" w:rsidP="001D21DC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Odpowiedzi z Kobyłki, Marek, Radzymina, Wołomina, Ząbek i Zielonki. Są to gminy uczestniczące w obecnym ZIT na lata 2014 – 2020, co ułatwia dostęp do środków zewnętrznych na ten cel. Obszary miejskie wydają się bardziej zainteresowane drogami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rowerowymi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gdyż pożądane jest zabranie ruchu rowerowego z chodników, oraz odseparowanie go </w:t>
      </w:r>
      <w:r w:rsidR="001D30FA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od ruchu samochodowego w celu zwiększenia bezpieczeństwa wszystkich użytkowników dróg.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Dla roku 2017 dane podał też ZDW. </w:t>
      </w:r>
    </w:p>
    <w:p w:rsidR="008039B2" w:rsidRPr="007119A5" w:rsidRDefault="008039B2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3.3.2.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wybudowanych lub przebudowanych obiektów "parkuj i jedź”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1D21DC" w:rsidTr="00D85DC2">
        <w:tc>
          <w:tcPr>
            <w:tcW w:w="3021" w:type="dxa"/>
          </w:tcPr>
          <w:p w:rsidR="00230C0A" w:rsidRPr="001D21DC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21D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1" w:type="dxa"/>
          </w:tcPr>
          <w:p w:rsidR="00230C0A" w:rsidRPr="001D21DC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21D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</w:tbl>
    <w:p w:rsidR="00D85DC2" w:rsidRPr="007119A5" w:rsidRDefault="001D30FA" w:rsidP="001D21DC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Inwestycje w zakresie budowy parkingów „Parkuj i Jedź” wykazały dwie gminy: Klembów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  <w:t>i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Wołomin. Kolejne parkingi w ramach sieci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zaplanowano</w:t>
      </w:r>
      <w:r w:rsidR="00B02CCE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do wykonania w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latach następnych</w:t>
      </w:r>
      <w:r w:rsidR="00B02CCE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 w:rsidR="001D21D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B02CCE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co jest spowodowane koniecznością uprzedniego zakończenia robót remontowych na linii kolejowej.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Należy mieć na uwadze, że obiekty tego typu nie muszą dotyczyć tylko węzłów kolejowych i stacji kolejowych. Mogą być zlokalizowane także przy węzłach drogowych, gdzie regularnie kursują autobusy miejskie i podmiejskie.</w:t>
      </w:r>
    </w:p>
    <w:p w:rsidR="00B02CCE" w:rsidRPr="007119A5" w:rsidRDefault="00B02CCE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3.3.3.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Całkowita długość przebudowanych lub zmodernizowanych dróg (km)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5DC2" w:rsidRPr="007119A5" w:rsidTr="00D85DC2">
        <w:tc>
          <w:tcPr>
            <w:tcW w:w="3020" w:type="dxa"/>
          </w:tcPr>
          <w:p w:rsidR="00D85DC2" w:rsidRPr="007119A5" w:rsidRDefault="00D85DC2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D85DC2" w:rsidRPr="001D21DC" w:rsidTr="00D85DC2">
        <w:tc>
          <w:tcPr>
            <w:tcW w:w="3020" w:type="dxa"/>
          </w:tcPr>
          <w:p w:rsidR="00D85DC2" w:rsidRPr="001D21DC" w:rsidRDefault="009A02A8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21D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Gminy</w:t>
            </w:r>
          </w:p>
        </w:tc>
        <w:tc>
          <w:tcPr>
            <w:tcW w:w="3021" w:type="dxa"/>
          </w:tcPr>
          <w:p w:rsidR="00D85DC2" w:rsidRPr="001D21DC" w:rsidRDefault="009A02A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21DC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20,203</w:t>
            </w:r>
          </w:p>
        </w:tc>
        <w:tc>
          <w:tcPr>
            <w:tcW w:w="3021" w:type="dxa"/>
          </w:tcPr>
          <w:p w:rsidR="00D85DC2" w:rsidRPr="001D21DC" w:rsidRDefault="009A02A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D21DC">
              <w:rPr>
                <w:rFonts w:ascii="Garamond" w:hAnsi="Garamond"/>
                <w:color w:val="000000" w:themeColor="text1"/>
                <w:sz w:val="24"/>
                <w:szCs w:val="24"/>
              </w:rPr>
              <w:t>55,552</w:t>
            </w:r>
          </w:p>
        </w:tc>
      </w:tr>
      <w:tr w:rsidR="00AA537F" w:rsidRPr="00AA537F" w:rsidTr="00D85DC2">
        <w:tc>
          <w:tcPr>
            <w:tcW w:w="3020" w:type="dxa"/>
          </w:tcPr>
          <w:p w:rsidR="00BA103C" w:rsidRPr="00AA537F" w:rsidRDefault="00BA103C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AA537F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021" w:type="dxa"/>
          </w:tcPr>
          <w:p w:rsidR="00BA103C" w:rsidRPr="00AA537F" w:rsidRDefault="00AA537F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AA537F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30,6</w:t>
            </w:r>
            <w:r w:rsidR="00CE39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021" w:type="dxa"/>
          </w:tcPr>
          <w:p w:rsidR="00BA103C" w:rsidRPr="00AA537F" w:rsidRDefault="00AA537F" w:rsidP="00CE39E5">
            <w:pPr>
              <w:spacing w:after="120" w:line="276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AA537F">
              <w:rPr>
                <w:rFonts w:ascii="Garamond" w:hAnsi="Garamond"/>
                <w:sz w:val="24"/>
                <w:szCs w:val="24"/>
              </w:rPr>
              <w:t>27,05</w:t>
            </w:r>
            <w:r w:rsidR="00CE39E5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</w:tbl>
    <w:p w:rsidR="00BE6ABB" w:rsidRDefault="00D8778E" w:rsidP="001D21DC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Dane ze wszystkich gmin oraz ZDW. </w:t>
      </w:r>
      <w:r w:rsidR="00B02CCE" w:rsidRPr="007119A5">
        <w:rPr>
          <w:rFonts w:ascii="Garamond" w:hAnsi="Garamond"/>
          <w:color w:val="000000" w:themeColor="text1"/>
          <w:sz w:val="24"/>
          <w:szCs w:val="24"/>
        </w:rPr>
        <w:t xml:space="preserve">Rozwój sieci drogowej, oraz dostosowanie dróg </w:t>
      </w:r>
      <w:r w:rsidR="001D21DC">
        <w:rPr>
          <w:rFonts w:ascii="Garamond" w:hAnsi="Garamond"/>
          <w:color w:val="000000" w:themeColor="text1"/>
          <w:sz w:val="24"/>
          <w:szCs w:val="24"/>
        </w:rPr>
        <w:br/>
      </w:r>
      <w:r w:rsidR="00B02CCE" w:rsidRPr="007119A5">
        <w:rPr>
          <w:rFonts w:ascii="Garamond" w:hAnsi="Garamond"/>
          <w:color w:val="000000" w:themeColor="text1"/>
          <w:sz w:val="24"/>
          <w:szCs w:val="24"/>
        </w:rPr>
        <w:t xml:space="preserve">do intensywności ich użytkowania jest jednym z głównych czynników rozwoju obszaru, zarówno </w:t>
      </w:r>
      <w:r w:rsidR="001D21DC">
        <w:rPr>
          <w:rFonts w:ascii="Garamond" w:hAnsi="Garamond"/>
          <w:color w:val="000000" w:themeColor="text1"/>
          <w:sz w:val="24"/>
          <w:szCs w:val="24"/>
        </w:rPr>
        <w:br/>
      </w:r>
      <w:r w:rsidR="00B02CCE" w:rsidRPr="007119A5">
        <w:rPr>
          <w:rFonts w:ascii="Garamond" w:hAnsi="Garamond"/>
          <w:color w:val="000000" w:themeColor="text1"/>
          <w:sz w:val="24"/>
          <w:szCs w:val="24"/>
        </w:rPr>
        <w:t>w kierunku gospodarczym, jak i osadniczym. Inwestycje drogowe to złożony proces projektowania i uzgadniania wszystkich aspektów inwestycji. Wiąże się to zatem z długim procesem inwestycyjnym. Pożądane jest, aby długość nowych/odnowionych dróg z roku na rok wzrastała, jednakże jest to trudne do osiągniecia ze względu na różne czynniki warunkujące inwestycję, począwszy od środków finansowych po proces</w:t>
      </w:r>
      <w:r w:rsidR="001D21DC">
        <w:rPr>
          <w:rFonts w:ascii="Garamond" w:hAnsi="Garamond"/>
          <w:color w:val="000000" w:themeColor="text1"/>
          <w:sz w:val="24"/>
          <w:szCs w:val="24"/>
        </w:rPr>
        <w:t>y</w:t>
      </w:r>
      <w:r w:rsidR="00B02CCE" w:rsidRPr="007119A5">
        <w:rPr>
          <w:rFonts w:ascii="Garamond" w:hAnsi="Garamond"/>
          <w:color w:val="000000" w:themeColor="text1"/>
          <w:sz w:val="24"/>
          <w:szCs w:val="24"/>
        </w:rPr>
        <w:t xml:space="preserve"> projektowo-wykonawcz</w:t>
      </w:r>
      <w:r w:rsidR="001D21DC">
        <w:rPr>
          <w:rFonts w:ascii="Garamond" w:hAnsi="Garamond"/>
          <w:color w:val="000000" w:themeColor="text1"/>
          <w:sz w:val="24"/>
          <w:szCs w:val="24"/>
        </w:rPr>
        <w:t>e</w:t>
      </w:r>
      <w:r w:rsidR="00B02CCE" w:rsidRPr="007119A5">
        <w:rPr>
          <w:rFonts w:ascii="Garamond" w:hAnsi="Garamond"/>
          <w:color w:val="000000" w:themeColor="text1"/>
          <w:sz w:val="24"/>
          <w:szCs w:val="24"/>
        </w:rPr>
        <w:t xml:space="preserve">. Warto przyglądać się temu wskaźnikowi w analizie narastającej, czyli ile wzrosło od poprzedniego wskazania. </w:t>
      </w: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lastRenderedPageBreak/>
        <w:t xml:space="preserve">Kierunek rozwoju 4: </w:t>
      </w:r>
      <w:r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t>Zwiększenie poziomu bezpieczeństwa publicznego w powiecie wołomińskim</w:t>
      </w: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3</w:t>
      </w:r>
      <w:r w:rsidR="003773BA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.4.1.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wprowadzonych do użycia elementów zintegrowanego systemu wczesnego ostrzegania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5DC2" w:rsidRPr="007119A5" w:rsidTr="00D85DC2">
        <w:tc>
          <w:tcPr>
            <w:tcW w:w="3020" w:type="dxa"/>
          </w:tcPr>
          <w:p w:rsidR="00D85DC2" w:rsidRPr="007119A5" w:rsidRDefault="00D85DC2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D85DC2" w:rsidRPr="007119A5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D85DC2" w:rsidRPr="00590CD4" w:rsidTr="00D85DC2">
        <w:tc>
          <w:tcPr>
            <w:tcW w:w="3020" w:type="dxa"/>
          </w:tcPr>
          <w:p w:rsidR="00D85DC2" w:rsidRPr="00590CD4" w:rsidRDefault="002343D6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Gminy</w:t>
            </w:r>
          </w:p>
        </w:tc>
        <w:tc>
          <w:tcPr>
            <w:tcW w:w="3021" w:type="dxa"/>
          </w:tcPr>
          <w:p w:rsidR="00D85DC2" w:rsidRPr="00590CD4" w:rsidRDefault="002343D6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21" w:type="dxa"/>
          </w:tcPr>
          <w:p w:rsidR="00D85DC2" w:rsidRPr="00590CD4" w:rsidRDefault="00DD52EE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111</w:t>
            </w:r>
          </w:p>
        </w:tc>
      </w:tr>
      <w:tr w:rsidR="002343D6" w:rsidRPr="00590CD4" w:rsidTr="00D85DC2">
        <w:tc>
          <w:tcPr>
            <w:tcW w:w="3020" w:type="dxa"/>
          </w:tcPr>
          <w:p w:rsidR="002343D6" w:rsidRPr="00590CD4" w:rsidRDefault="002343D6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021" w:type="dxa"/>
          </w:tcPr>
          <w:p w:rsidR="002343D6" w:rsidRPr="00590CD4" w:rsidRDefault="002343D6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2343D6" w:rsidRPr="00590CD4" w:rsidRDefault="004646F6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="002343D6"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71</w:t>
            </w:r>
          </w:p>
        </w:tc>
      </w:tr>
    </w:tbl>
    <w:p w:rsidR="002343D6" w:rsidRPr="007119A5" w:rsidRDefault="003773BA" w:rsidP="00590CD4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Bezpieczeństwo jest jednym z podstawowych czynników skłaniających do osiedlania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się i podejmowania działalności na wybranym obszarze. Działania samorządów pokazują,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że przykładają wielką wagę do bezpieczeństwa swoich mieszkańców. Dane należy uznać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za powielające się, gdyż projekt wprowadzania systemu wczesnego ostrzegania realizowany był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we współpracy Powiatu z Gminami, w związku z czym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liczba urządzeń podana przez Powiat została też ujęta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również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przez Gminy. Dzięki realizacji projektu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powiatowe służby kryzysowe mają bezpośredni kontakt ze służbami gminnymi, co znacząco wpływa na przepływ informacji oraz szybkość podejmowanych reakcji. Widać też wzrost liczby elementów ostrzegania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na poziomie gmin. Pożądany jest przyrost wskaźnika w czasie. </w:t>
      </w:r>
    </w:p>
    <w:p w:rsidR="003773BA" w:rsidRPr="007119A5" w:rsidRDefault="003773BA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:rsidR="003773BA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3</w:t>
      </w:r>
      <w:r w:rsidR="003773BA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.</w:t>
      </w: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4</w:t>
      </w:r>
      <w:r w:rsidR="003773BA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.2. </w:t>
      </w:r>
      <w:r w:rsidR="002343D6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P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ojemność obiektów małej retencji (m3)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590CD4" w:rsidTr="00D85DC2">
        <w:tc>
          <w:tcPr>
            <w:tcW w:w="3021" w:type="dxa"/>
          </w:tcPr>
          <w:p w:rsidR="00230C0A" w:rsidRPr="00590CD4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13</w:t>
            </w: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3021" w:type="dxa"/>
          </w:tcPr>
          <w:p w:rsidR="00230C0A" w:rsidRPr="00590CD4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13</w:t>
            </w: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550</w:t>
            </w:r>
          </w:p>
        </w:tc>
      </w:tr>
    </w:tbl>
    <w:p w:rsidR="00D85DC2" w:rsidRPr="007119A5" w:rsidRDefault="003773BA" w:rsidP="00590CD4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Zbiorniki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wskazane przez gminy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znajdują się w Tłuszczu i Ząbkach. 13000 znajdujące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się w Tłuszczu są podane dla obu lat, zatem najpewniej mamy do czynienia z przedstawieniem stanu faktycznego a nie zmianą na przestrzeni badanych lat, jak mają to przedstawione Ząbki. Obiekty małej retencji mają za zadanie racjonalną gospodarkę wodną i idącą za tym ochronę ludności przed zalewaniem ich mienia i upraw, oraz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ochronę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przed suszą w okresach 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charakteryzujących się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nisk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ą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sum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ą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opadów. </w:t>
      </w:r>
      <w:r w:rsidR="000332BF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Trudna sytuacja hydrologiczna na obszarze powiatu oraz liczne podtopienia sezonowe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="000332BF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pozwalają wysnuć wniosek, iż jest to świetne miejsce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0332BF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do budowy obiektów tego typu. Tego typu inwestycje można powiązać z tworzeniem miejsc rekreacyjnych i atrakcyjnych turystycznie, związanych z powstałymi zbiornikami wodnymi</w:t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590C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 terenami do nich przylegającymi</w:t>
      </w:r>
      <w:r w:rsidR="000332BF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3773BA" w:rsidRPr="007119A5" w:rsidRDefault="003773BA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3</w:t>
      </w:r>
      <w:r w:rsidR="003773BA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.4.3.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projektów z zakresu prewencji zagrożeń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2016-2017</w:t>
            </w:r>
          </w:p>
        </w:tc>
      </w:tr>
      <w:tr w:rsidR="00230C0A" w:rsidRPr="00590CD4" w:rsidTr="00D85DC2">
        <w:tc>
          <w:tcPr>
            <w:tcW w:w="3021" w:type="dxa"/>
          </w:tcPr>
          <w:p w:rsidR="00230C0A" w:rsidRPr="00590CD4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90CD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285</w:t>
            </w:r>
          </w:p>
        </w:tc>
      </w:tr>
    </w:tbl>
    <w:p w:rsidR="00D85DC2" w:rsidRPr="007119A5" w:rsidRDefault="003773BA" w:rsidP="00590CD4">
      <w:pPr>
        <w:spacing w:after="120" w:line="276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Dane KSP, KPP, NDL Łochów, oraz gmin. Dane nie są podane przez wszystkich w rozbiciu </w:t>
      </w:r>
      <w:r w:rsidR="00590CD4">
        <w:rPr>
          <w:rFonts w:ascii="Garamond" w:hAnsi="Garamond"/>
          <w:bCs/>
          <w:color w:val="000000" w:themeColor="text1"/>
          <w:sz w:val="24"/>
          <w:szCs w:val="24"/>
        </w:rPr>
        <w:br/>
      </w:r>
      <w:r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na lata, a w większości w formie 2016-2017, zatem przedstawione też są sumarycznie. </w:t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Liczba przedsięwzięć prewencyjnych jest imponująca. Ponad 54% to działania Policji. </w:t>
      </w:r>
      <w:r w:rsidR="00590CD4">
        <w:rPr>
          <w:rFonts w:ascii="Garamond" w:hAnsi="Garamond"/>
          <w:bCs/>
          <w:color w:val="000000" w:themeColor="text1"/>
          <w:sz w:val="24"/>
          <w:szCs w:val="24"/>
        </w:rPr>
        <w:br/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Są to </w:t>
      </w:r>
      <w:r w:rsidR="00590CD4">
        <w:rPr>
          <w:rFonts w:ascii="Garamond" w:hAnsi="Garamond"/>
          <w:bCs/>
          <w:color w:val="000000" w:themeColor="text1"/>
          <w:sz w:val="24"/>
          <w:szCs w:val="24"/>
        </w:rPr>
        <w:t>przedsięwzięcia</w:t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 związane z pouczaniem, informowaniem, szkoleniem w zakresie zachowania </w:t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lastRenderedPageBreak/>
        <w:t xml:space="preserve">w obliczu zagrożenia życia i bezpieczeństwa. </w:t>
      </w:r>
      <w:r w:rsidR="00920C59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Zakres i forma przekazu </w:t>
      </w:r>
      <w:r w:rsidR="00975CBE">
        <w:rPr>
          <w:rFonts w:ascii="Garamond" w:hAnsi="Garamond"/>
          <w:bCs/>
          <w:color w:val="000000" w:themeColor="text1"/>
          <w:sz w:val="24"/>
          <w:szCs w:val="24"/>
        </w:rPr>
        <w:br/>
      </w:r>
      <w:r w:rsidR="00920C59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są dostosowane do wieku </w:t>
      </w:r>
      <w:r w:rsidR="00590CD4">
        <w:rPr>
          <w:rFonts w:ascii="Garamond" w:hAnsi="Garamond"/>
          <w:bCs/>
          <w:color w:val="000000" w:themeColor="text1"/>
          <w:sz w:val="24"/>
          <w:szCs w:val="24"/>
        </w:rPr>
        <w:t>i typu odbiorców</w:t>
      </w:r>
      <w:r w:rsidR="00920C59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. </w:t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Każda taka akcja utrwala i przypomina pozytywne reakcje i zachowania. Podejmowane tematy to m.in. bezpieczeństwo na drodze dla pieszych </w:t>
      </w:r>
      <w:r w:rsidR="00975CBE">
        <w:rPr>
          <w:rFonts w:ascii="Garamond" w:hAnsi="Garamond"/>
          <w:bCs/>
          <w:color w:val="000000" w:themeColor="text1"/>
          <w:sz w:val="24"/>
          <w:szCs w:val="24"/>
        </w:rPr>
        <w:br/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i kierowców, bezpieczne lato – zachowanie nad wodą, w lesie, itp., bezpieczna zima, ocena stanu pojazdów autokarowych przy wyjazdach grupowych, </w:t>
      </w:r>
      <w:r w:rsidR="00590CD4">
        <w:rPr>
          <w:rFonts w:ascii="Garamond" w:hAnsi="Garamond"/>
          <w:bCs/>
          <w:color w:val="000000" w:themeColor="text1"/>
          <w:sz w:val="24"/>
          <w:szCs w:val="24"/>
        </w:rPr>
        <w:t xml:space="preserve">akcje okolicznościowe związane </w:t>
      </w:r>
      <w:r w:rsidR="00975CBE">
        <w:rPr>
          <w:rFonts w:ascii="Garamond" w:hAnsi="Garamond"/>
          <w:bCs/>
          <w:color w:val="000000" w:themeColor="text1"/>
          <w:sz w:val="24"/>
          <w:szCs w:val="24"/>
        </w:rPr>
        <w:br/>
      </w:r>
      <w:r w:rsidR="00590CD4">
        <w:rPr>
          <w:rFonts w:ascii="Garamond" w:hAnsi="Garamond"/>
          <w:bCs/>
          <w:color w:val="000000" w:themeColor="text1"/>
          <w:sz w:val="24"/>
          <w:szCs w:val="24"/>
        </w:rPr>
        <w:t xml:space="preserve">ze zwiększonym przemieszczaniem się ludności, </w:t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t>itp. Pożądane jest by działania w zakresie każdego tematu docierały do jak największej rzeszy mieszkańców</w:t>
      </w:r>
      <w:r w:rsidR="00920C59" w:rsidRPr="007119A5">
        <w:rPr>
          <w:rFonts w:ascii="Garamond" w:hAnsi="Garamond"/>
          <w:bCs/>
          <w:color w:val="000000" w:themeColor="text1"/>
          <w:sz w:val="24"/>
          <w:szCs w:val="24"/>
        </w:rPr>
        <w:t>, oraz były cyklicznie powtarzane</w:t>
      </w:r>
      <w:r w:rsidR="000332BF" w:rsidRPr="007119A5">
        <w:rPr>
          <w:rFonts w:ascii="Garamond" w:hAnsi="Garamond"/>
          <w:bCs/>
          <w:color w:val="000000" w:themeColor="text1"/>
          <w:sz w:val="24"/>
          <w:szCs w:val="24"/>
        </w:rPr>
        <w:t xml:space="preserve">. </w:t>
      </w:r>
    </w:p>
    <w:p w:rsidR="00184E93" w:rsidRPr="007119A5" w:rsidRDefault="00184E93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Kierunek rozwoju 5: </w:t>
      </w:r>
      <w:r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t>Ochrona środowiska naturalnego</w:t>
      </w:r>
      <w:r w:rsidR="005A78A7"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t xml:space="preserve"> </w:t>
      </w: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3</w:t>
      </w:r>
      <w:r w:rsidR="003773BA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.5.1.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Liczba zmodernizowanych energetycznie budynków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B05BB4" w:rsidTr="00D85DC2">
        <w:tc>
          <w:tcPr>
            <w:tcW w:w="3021" w:type="dxa"/>
          </w:tcPr>
          <w:p w:rsidR="00230C0A" w:rsidRPr="00B05BB4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05BB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1" w:type="dxa"/>
          </w:tcPr>
          <w:p w:rsidR="00230C0A" w:rsidRPr="00B05BB4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05BB4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18</w:t>
            </w:r>
          </w:p>
        </w:tc>
      </w:tr>
    </w:tbl>
    <w:p w:rsidR="00D85DC2" w:rsidRPr="007119A5" w:rsidRDefault="00621D84" w:rsidP="00B05BB4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Strategia nie precyzuje jakie budynki objąć w ramach wskaźnika, czy prywatne także, ani też zakresu modernizacji. Gminy mają możliwość pozyskania środków na ten cel z różnych 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funduszy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jednak są one ograniczone, oraz wymagają istotnego wkładu własnego właściciela nieruchomości, </w:t>
      </w:r>
      <w:r w:rsidR="00CE39E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co skutkuje zmniejszeniem zainteresowania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społeczeństwa uczestnictwem w tego typu programach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. Koszty są czynnikiem odstraszającym prywatnych inwestorów przed kompleksową termomodernizacją, robią ją 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zatem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etapami nie osiągając wyniku kompleksowego, co przyczynia się do dłuższego okresu emisji zanieczyszczeń do atmosfery.</w:t>
      </w:r>
    </w:p>
    <w:p w:rsidR="00621D84" w:rsidRPr="007119A5" w:rsidRDefault="00621D84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3</w:t>
      </w:r>
      <w:r w:rsidR="003773BA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.5.2. 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Roczne stężenie pyłu PM10  (</w:t>
      </w:r>
      <w:proofErr w:type="spellStart"/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μg</w:t>
      </w:r>
      <w:proofErr w:type="spellEnd"/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/m3)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7119A5" w:rsidTr="00B05BB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C0A" w:rsidRPr="007119A5" w:rsidRDefault="00230C0A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7119A5">
              <w:rPr>
                <w:rFonts w:ascii="Garamond" w:hAnsi="Garamond" w:cs="Calibri"/>
                <w:color w:val="000000" w:themeColor="text1"/>
              </w:rPr>
              <w:t xml:space="preserve">22,7 w Radzyminie </w:t>
            </w:r>
            <w:r>
              <w:rPr>
                <w:rFonts w:ascii="Garamond" w:hAnsi="Garamond" w:cs="Calibri"/>
                <w:color w:val="000000" w:themeColor="text1"/>
              </w:rPr>
              <w:br/>
              <w:t xml:space="preserve">do </w:t>
            </w:r>
            <w:r w:rsidRPr="007119A5">
              <w:rPr>
                <w:rFonts w:ascii="Garamond" w:hAnsi="Garamond" w:cs="Calibri"/>
                <w:color w:val="000000" w:themeColor="text1"/>
              </w:rPr>
              <w:t>32,7w Ząbkach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C0A" w:rsidRPr="007119A5" w:rsidRDefault="00230C0A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7119A5">
              <w:rPr>
                <w:rFonts w:ascii="Garamond" w:hAnsi="Garamond" w:cs="Calibri"/>
                <w:color w:val="000000" w:themeColor="text1"/>
              </w:rPr>
              <w:t xml:space="preserve">23,5 w Radzyminie </w:t>
            </w:r>
            <w:r>
              <w:rPr>
                <w:rFonts w:ascii="Garamond" w:hAnsi="Garamond" w:cs="Calibri"/>
                <w:color w:val="000000" w:themeColor="text1"/>
              </w:rPr>
              <w:br/>
            </w:r>
            <w:r w:rsidRPr="007119A5">
              <w:rPr>
                <w:rFonts w:ascii="Garamond" w:hAnsi="Garamond" w:cs="Calibri"/>
                <w:color w:val="000000" w:themeColor="text1"/>
              </w:rPr>
              <w:t>do 40</w:t>
            </w:r>
            <w:r>
              <w:rPr>
                <w:rFonts w:ascii="Garamond" w:hAnsi="Garamond" w:cs="Calibri"/>
                <w:color w:val="000000" w:themeColor="text1"/>
              </w:rPr>
              <w:t xml:space="preserve"> </w:t>
            </w:r>
            <w:r w:rsidRPr="007119A5">
              <w:rPr>
                <w:rFonts w:ascii="Garamond" w:hAnsi="Garamond" w:cs="Calibri"/>
                <w:color w:val="000000" w:themeColor="text1"/>
              </w:rPr>
              <w:t>w Poświętnem</w:t>
            </w:r>
          </w:p>
        </w:tc>
      </w:tr>
    </w:tbl>
    <w:p w:rsidR="00985173" w:rsidRPr="007119A5" w:rsidRDefault="00985173" w:rsidP="00B05BB4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Gminy do końca roku 2017 nie wszystkie posiada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ły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własne mierniki stężenia pyłu. Wołomin 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 Zielonka 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podając poziom stężenia pyłów 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korzystają z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pomiarów</w:t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stacji na Targówku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Warszawie. </w:t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Zróżnicowanie terytorialne wymaga</w:t>
      </w:r>
      <w:r w:rsidR="00B05B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by podać zanotowane wskaźniki w formie przekrojowej. Pokazują, że notowane stężenia pyłów osiągnęły w 2017 r. poziomy wyższe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niż w 2016 r. Jest to wyraźny sygnał, że jest zbyt mały nacisk na politykę energetyczn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ą</w:t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związaną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 pozyskiwaniem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czystego ekologicznie </w:t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ciepła przez odbiorców indywidualnych. Niska świadomość społeczna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dotycząca </w:t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szkodliwości spalania w piecach wszystkiego, wiąże się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ze słabym poziomem jakości powietrza. Niezbędne jest promowanie zachowań ekologicznych, udział w programach niskiej emisji, wymiana źródeł ciepła oraz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promowanie </w:t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pozyskiwani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</w:t>
      </w:r>
      <w:r w:rsidR="00621D84" w:rsidRPr="007119A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energii w ramach OZE. </w:t>
      </w:r>
    </w:p>
    <w:p w:rsidR="00621D84" w:rsidRDefault="00621D84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975CBE" w:rsidRDefault="00975CBE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:rsidR="00975CBE" w:rsidRDefault="00975CBE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:rsidR="00975CBE" w:rsidRDefault="00975CBE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:rsidR="00184E93" w:rsidRPr="007119A5" w:rsidRDefault="00E35DD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lastRenderedPageBreak/>
        <w:t>3.5.3. I</w:t>
      </w:r>
      <w:r w:rsidR="00184E93" w:rsidRPr="007119A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lość terenów przestrzeni publicznej poddanej rewitalizacji (ha)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7119A5" w:rsidTr="00D85DC2"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7119A5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119A5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50,1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58,4</w:t>
            </w:r>
          </w:p>
        </w:tc>
      </w:tr>
    </w:tbl>
    <w:p w:rsidR="00D85DC2" w:rsidRPr="007119A5" w:rsidRDefault="00985173" w:rsidP="002F1B98">
      <w:pPr>
        <w:spacing w:after="120" w:line="27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119A5">
        <w:rPr>
          <w:rFonts w:ascii="Garamond" w:hAnsi="Garamond"/>
          <w:color w:val="000000" w:themeColor="text1"/>
          <w:sz w:val="24"/>
          <w:szCs w:val="24"/>
        </w:rPr>
        <w:t>Wskaźnik wzrastający, obrazujący ogólną tendencję rewitalizacji obszarów – czyli procesu przywracania funkcji użytkowych terenom zdegradowanym, poprzemysłowym, zaniedbanym, prowadzonego w sposób kompleksowy, poprzez zintegrowane działania na rzecz lokalnej społeczności, przestrzeni i gospodarki, skoncentrowane terytorialnie, prowadzone przez interesariuszy rewitalizacji w oparciu o plany gminne. Pożądane jest, aby we wszystkich gminach, które przyjęły programy rewitalizacji proces ten postępował i objął wszystkie wskazane obszary. Rewitalizacja to nie tylko ładniejsze miasta czy tereny, ale także inna</w:t>
      </w:r>
      <w:r w:rsidR="002F1B98">
        <w:rPr>
          <w:rFonts w:ascii="Garamond" w:hAnsi="Garamond"/>
          <w:color w:val="000000" w:themeColor="text1"/>
          <w:sz w:val="24"/>
          <w:szCs w:val="24"/>
        </w:rPr>
        <w:t>, lepsza</w:t>
      </w:r>
      <w:r w:rsidRPr="007119A5">
        <w:rPr>
          <w:rFonts w:ascii="Garamond" w:hAnsi="Garamond"/>
          <w:color w:val="000000" w:themeColor="text1"/>
          <w:sz w:val="24"/>
          <w:szCs w:val="24"/>
        </w:rPr>
        <w:t xml:space="preserve"> jakość życia mieszkańców.</w:t>
      </w: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3D1F15" w:rsidRPr="007119A5" w:rsidRDefault="003D1F15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  <w:sectPr w:rsidR="003D1F15" w:rsidRPr="007119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lastRenderedPageBreak/>
        <w:t>Cel strategiczny 4: TWORZENIE WARUNKÓW DLA ZRÓWNOWAŻONEGO ROZWOJU FUNKCJI TURYSTYCZNEJ POWIATU WOŁOMIŃSKIEGO</w:t>
      </w: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</w:p>
    <w:p w:rsidR="00C73EBF" w:rsidRPr="007119A5" w:rsidRDefault="00C73EBF" w:rsidP="006B4AE9">
      <w:pPr>
        <w:spacing w:after="120" w:line="276" w:lineRule="auto"/>
        <w:rPr>
          <w:rFonts w:ascii="Garamond" w:hAnsi="Garamond"/>
          <w:b/>
          <w:bCs/>
          <w:color w:val="000000" w:themeColor="text1"/>
          <w:sz w:val="28"/>
          <w:szCs w:val="24"/>
        </w:rPr>
      </w:pPr>
      <w:r w:rsidRPr="007119A5">
        <w:rPr>
          <w:rFonts w:ascii="Garamond" w:hAnsi="Garamond"/>
          <w:b/>
          <w:color w:val="000000" w:themeColor="text1"/>
          <w:sz w:val="28"/>
          <w:szCs w:val="24"/>
        </w:rPr>
        <w:t xml:space="preserve">Kierunek rozwoju 1: </w:t>
      </w:r>
      <w:r w:rsidRPr="007119A5">
        <w:rPr>
          <w:rFonts w:ascii="Garamond" w:hAnsi="Garamond"/>
          <w:b/>
          <w:bCs/>
          <w:color w:val="000000" w:themeColor="text1"/>
          <w:sz w:val="28"/>
          <w:szCs w:val="24"/>
        </w:rPr>
        <w:t>Wspieranie rozwoju turystyki w oparciu o dziedzictwo historyczne i kulturowe</w:t>
      </w:r>
    </w:p>
    <w:p w:rsidR="00184E93" w:rsidRPr="002F1B98" w:rsidRDefault="0004244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4.1.1.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Liczba obiektów kulturowych, historycznych i zabytkowych objętych wsparciem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</w:tr>
    </w:tbl>
    <w:p w:rsidR="00D85DC2" w:rsidRPr="002F1B98" w:rsidRDefault="00C02314" w:rsidP="002F1B98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Wskaźnik nie precyzuje jakiego typu jest </w:t>
      </w:r>
      <w:r w:rsidR="002F1B98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to 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wsparcie, jednakże jego wzrost w badanym okresie, świadczy o rosnącym zainteresowaniu samorządów rozwojem turystyki poprzez poszerzenie oferty lokalnej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, a także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wzrost jakości świadczonych usług w tym zakresie. Jest to pozytywna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tendencja, która realizuje zapisy misji powiatu zawarte w Strategii. Pożądanym jest dalszy wzrost wskaźnika w kolejnych latach. </w:t>
      </w:r>
    </w:p>
    <w:p w:rsidR="00C02314" w:rsidRPr="002F1B98" w:rsidRDefault="00C02314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</w:p>
    <w:p w:rsidR="00184E93" w:rsidRPr="002F1B98" w:rsidRDefault="0004244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4.1.2.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Liczba osób korzystających z noclegów na terenie powiatu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5DC2" w:rsidRPr="002F1B98" w:rsidTr="00D85DC2">
        <w:tc>
          <w:tcPr>
            <w:tcW w:w="3020" w:type="dxa"/>
          </w:tcPr>
          <w:p w:rsidR="00D85DC2" w:rsidRPr="002F1B98" w:rsidRDefault="00D85DC2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D85DC2" w:rsidRPr="002F1B98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D85DC2" w:rsidRPr="002F1B98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D85DC2" w:rsidRPr="002F1B98" w:rsidTr="00D85DC2">
        <w:tc>
          <w:tcPr>
            <w:tcW w:w="3020" w:type="dxa"/>
          </w:tcPr>
          <w:p w:rsidR="00D85DC2" w:rsidRPr="002F1B98" w:rsidRDefault="002F1B98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3021" w:type="dxa"/>
          </w:tcPr>
          <w:p w:rsidR="00D85DC2" w:rsidRPr="002F1B98" w:rsidRDefault="002B65D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52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3021" w:type="dxa"/>
          </w:tcPr>
          <w:p w:rsidR="00D85DC2" w:rsidRPr="002F1B98" w:rsidRDefault="002B65D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62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267</w:t>
            </w:r>
          </w:p>
        </w:tc>
      </w:tr>
      <w:tr w:rsidR="002B65D7" w:rsidRPr="002F1B98" w:rsidTr="00D85DC2">
        <w:tc>
          <w:tcPr>
            <w:tcW w:w="3020" w:type="dxa"/>
          </w:tcPr>
          <w:p w:rsidR="002B65D7" w:rsidRPr="002F1B98" w:rsidRDefault="002B65D7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Liczba </w:t>
            </w:r>
            <w:r w:rsidR="00D00F1D"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udzielonych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noclegów </w:t>
            </w:r>
          </w:p>
        </w:tc>
        <w:tc>
          <w:tcPr>
            <w:tcW w:w="3021" w:type="dxa"/>
          </w:tcPr>
          <w:p w:rsidR="002B65D7" w:rsidRPr="002F1B98" w:rsidRDefault="002B65D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88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514</w:t>
            </w:r>
          </w:p>
        </w:tc>
        <w:tc>
          <w:tcPr>
            <w:tcW w:w="3021" w:type="dxa"/>
          </w:tcPr>
          <w:p w:rsidR="002B65D7" w:rsidRPr="002F1B98" w:rsidRDefault="002B65D7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98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225</w:t>
            </w:r>
          </w:p>
        </w:tc>
      </w:tr>
      <w:tr w:rsidR="00D00F1D" w:rsidRPr="002F1B98" w:rsidTr="00D85DC2">
        <w:tc>
          <w:tcPr>
            <w:tcW w:w="3020" w:type="dxa"/>
          </w:tcPr>
          <w:p w:rsidR="00D00F1D" w:rsidRPr="002F1B98" w:rsidRDefault="002F1B98" w:rsidP="006B4AE9">
            <w:pPr>
              <w:spacing w:after="120" w:line="276" w:lineRule="auto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Osobonoclegi</w:t>
            </w:r>
            <w:proofErr w:type="spellEnd"/>
          </w:p>
        </w:tc>
        <w:tc>
          <w:tcPr>
            <w:tcW w:w="3021" w:type="dxa"/>
          </w:tcPr>
          <w:p w:rsidR="00D00F1D" w:rsidRPr="002F1B98" w:rsidRDefault="00D00F1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1,67</w:t>
            </w:r>
          </w:p>
        </w:tc>
        <w:tc>
          <w:tcPr>
            <w:tcW w:w="3021" w:type="dxa"/>
          </w:tcPr>
          <w:p w:rsidR="00D00F1D" w:rsidRPr="002F1B98" w:rsidRDefault="00D00F1D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1,57</w:t>
            </w:r>
          </w:p>
        </w:tc>
      </w:tr>
    </w:tbl>
    <w:p w:rsidR="002F1B98" w:rsidRDefault="00D00F1D" w:rsidP="002F1B98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bookmarkStart w:id="3" w:name="_Hlk521058678"/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Wskaźnik określony w oparciu dane Banku Danych Lokalnych (BDL). Dla pełnego obrazu sytuacji powinno się postrzegać go dwutorowo, z jednej strony poprzez liczbę osób, które skorzystały z noclegów, z drugiej poprzez liczbę </w:t>
      </w:r>
      <w:proofErr w:type="spellStart"/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osobonoclegów</w:t>
      </w:r>
      <w:proofErr w:type="spellEnd"/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czyli ile noclegów wykupił turysta przebywający na obszarze powiatu. </w:t>
      </w:r>
    </w:p>
    <w:p w:rsidR="00D00F1D" w:rsidRPr="002F1B98" w:rsidRDefault="00D00F1D" w:rsidP="002F1B98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Analiza ta pokazuje, iż wzrasta liczba osób korzystających z noclegów na terenie powiatu, jednakże maleje liczba noclegów wykupionych przez poszczególnego turystę. Może to wiązać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się z charakterem ruchu turystycznego na obszarze powiatu cechującego się pobytami krótkimi, weekendowymi, okolicznościowymi oraz biznesowymi. Rozwijająca się baza noclegowa obejmuje 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obecnie 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m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n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iej niż 1000 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miejsc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noclegowych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co 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pozwala sądzić,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ż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e ta dziedzina usług ma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jeszcze szerokie możliwości rozwoju, jednakże wymaga to dobrze rozwiniętej infrastruktury drogowej oraz okołoturystycznej, aby obszar powiatu był postrzegany jako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przyjazne turyście, atrakcyjne 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miejsce na pobyt dłuższy niż jeden-dwa dni.</w:t>
      </w:r>
    </w:p>
    <w:p w:rsidR="009A3FDA" w:rsidRDefault="009A3FDA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</w:p>
    <w:p w:rsidR="002F1B98" w:rsidRDefault="002F1B98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</w:p>
    <w:p w:rsidR="002F1B98" w:rsidRDefault="002F1B98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</w:p>
    <w:p w:rsidR="002F1B98" w:rsidRPr="002F1B98" w:rsidRDefault="002F1B98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</w:p>
    <w:bookmarkEnd w:id="3"/>
    <w:p w:rsidR="00184E93" w:rsidRPr="002F1B98" w:rsidRDefault="0004244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lastRenderedPageBreak/>
        <w:t xml:space="preserve">4.1.3.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Liczba turystów zagranicznych korzystających z noclegów na terenie powiatu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5DC2" w:rsidRPr="002F1B98" w:rsidTr="00D85DC2">
        <w:tc>
          <w:tcPr>
            <w:tcW w:w="3020" w:type="dxa"/>
          </w:tcPr>
          <w:p w:rsidR="00D85DC2" w:rsidRPr="002F1B98" w:rsidRDefault="00D85DC2" w:rsidP="006B4AE9">
            <w:pPr>
              <w:spacing w:after="120" w:line="276" w:lineRule="auto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D85DC2" w:rsidRPr="002F1B98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D85DC2" w:rsidRPr="002F1B98" w:rsidRDefault="00D85DC2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F1B98" w:rsidRPr="002F1B98" w:rsidTr="00D85DC2">
        <w:tc>
          <w:tcPr>
            <w:tcW w:w="3020" w:type="dxa"/>
          </w:tcPr>
          <w:p w:rsidR="002F1B98" w:rsidRPr="002F1B98" w:rsidRDefault="002F1B98" w:rsidP="002F1B98">
            <w:pPr>
              <w:rPr>
                <w:rFonts w:ascii="Garamond" w:hAnsi="Garamond"/>
                <w:sz w:val="24"/>
                <w:szCs w:val="24"/>
              </w:rPr>
            </w:pPr>
            <w:r w:rsidRPr="002F1B98">
              <w:rPr>
                <w:rFonts w:ascii="Garamond" w:hAnsi="Garamond"/>
                <w:sz w:val="24"/>
                <w:szCs w:val="24"/>
              </w:rPr>
              <w:t>Liczba osób</w:t>
            </w:r>
          </w:p>
        </w:tc>
        <w:tc>
          <w:tcPr>
            <w:tcW w:w="3021" w:type="dxa"/>
          </w:tcPr>
          <w:p w:rsidR="002F1B98" w:rsidRPr="002F1B98" w:rsidRDefault="002F1B9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3021" w:type="dxa"/>
          </w:tcPr>
          <w:p w:rsidR="002F1B98" w:rsidRPr="002F1B98" w:rsidRDefault="002F1B9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694</w:t>
            </w:r>
          </w:p>
        </w:tc>
      </w:tr>
      <w:tr w:rsidR="002F1B98" w:rsidRPr="002F1B98" w:rsidTr="00D85DC2">
        <w:tc>
          <w:tcPr>
            <w:tcW w:w="3020" w:type="dxa"/>
          </w:tcPr>
          <w:p w:rsidR="002F1B98" w:rsidRPr="002F1B98" w:rsidRDefault="002F1B98" w:rsidP="002F1B98">
            <w:pPr>
              <w:rPr>
                <w:rFonts w:ascii="Garamond" w:hAnsi="Garamond"/>
                <w:sz w:val="24"/>
                <w:szCs w:val="24"/>
              </w:rPr>
            </w:pPr>
            <w:r w:rsidRPr="002F1B98">
              <w:rPr>
                <w:rFonts w:ascii="Garamond" w:hAnsi="Garamond"/>
                <w:sz w:val="24"/>
                <w:szCs w:val="24"/>
              </w:rPr>
              <w:t xml:space="preserve">Liczba udzielonych noclegów </w:t>
            </w:r>
          </w:p>
        </w:tc>
        <w:tc>
          <w:tcPr>
            <w:tcW w:w="3021" w:type="dxa"/>
          </w:tcPr>
          <w:p w:rsidR="002F1B98" w:rsidRPr="002F1B98" w:rsidRDefault="002F1B9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3021" w:type="dxa"/>
          </w:tcPr>
          <w:p w:rsidR="002F1B98" w:rsidRPr="002F1B98" w:rsidRDefault="002F1B9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9C5DA3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001</w:t>
            </w:r>
          </w:p>
        </w:tc>
      </w:tr>
      <w:tr w:rsidR="002F1B98" w:rsidRPr="002F1B98" w:rsidTr="00D85DC2">
        <w:tc>
          <w:tcPr>
            <w:tcW w:w="3020" w:type="dxa"/>
          </w:tcPr>
          <w:p w:rsidR="002F1B98" w:rsidRPr="002F1B98" w:rsidRDefault="002F1B98" w:rsidP="002F1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F1B98">
              <w:rPr>
                <w:rFonts w:ascii="Garamond" w:hAnsi="Garamond"/>
                <w:sz w:val="24"/>
                <w:szCs w:val="24"/>
              </w:rPr>
              <w:t>Osobonoclegi</w:t>
            </w:r>
            <w:proofErr w:type="spellEnd"/>
          </w:p>
        </w:tc>
        <w:tc>
          <w:tcPr>
            <w:tcW w:w="3021" w:type="dxa"/>
          </w:tcPr>
          <w:p w:rsidR="002F1B98" w:rsidRPr="002F1B98" w:rsidRDefault="002F1B9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1,48</w:t>
            </w:r>
          </w:p>
        </w:tc>
        <w:tc>
          <w:tcPr>
            <w:tcW w:w="3021" w:type="dxa"/>
          </w:tcPr>
          <w:p w:rsidR="002F1B98" w:rsidRPr="002F1B98" w:rsidRDefault="002F1B98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1,43</w:t>
            </w:r>
          </w:p>
        </w:tc>
      </w:tr>
    </w:tbl>
    <w:p w:rsidR="002F1B98" w:rsidRDefault="00D00F1D" w:rsidP="002F1B98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Wskaźnik określony w oparciu dane Banku Danych Lokalnych (BDL)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. Dla pełnego obrazu sytuacji powinno się postrzegać go dwutorowo, z jednej strony poprzez liczbę osób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z zagranicy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które skorzystały z noclegów, z drugiej poprzez liczbę </w:t>
      </w:r>
      <w:proofErr w:type="spellStart"/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osobonoclegów</w:t>
      </w:r>
      <w:proofErr w:type="spellEnd"/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czyli ile noclegów wykupił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ten </w:t>
      </w:r>
      <w:r w:rsidR="009A3FDA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turysta podczas swojego pobytu na obszarze powiatu. </w:t>
      </w:r>
    </w:p>
    <w:p w:rsidR="00D00F1D" w:rsidRPr="002F1B98" w:rsidRDefault="009A3FDA" w:rsidP="002F1B98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Analiza ta pokazuje, iż wzrasta liczba osób korzystających z noclegów na terenie powiatu, jednakże maleje liczba noclegów wykupionych przez poszczególnego turystę. Wartości wskaźnika za lata 2016-2017 będą stanowiły bazę do analizy tendencji rozwojowych zjawiska. Pozwolą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na kształtowanie kierunków rozwoju oferty turystycznej w celu zatrzymania turysty na terenie powiatu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na czas dłuższy niż jeden nocleg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. Spadek ten można zahamować poprzez rozwój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dostępnych 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form wypoczynku i rekreacji na terenie powiatu w kierunkach stanowiących </w:t>
      </w:r>
      <w:r w:rsid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o wyjątkowości i unikatowości okolicy.</w:t>
      </w:r>
    </w:p>
    <w:p w:rsidR="00D85DC2" w:rsidRPr="002F1B98" w:rsidRDefault="00D85DC2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</w:pPr>
    </w:p>
    <w:p w:rsidR="00184E93" w:rsidRPr="002F1B98" w:rsidRDefault="0004244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4.1.4.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Liczba przedsięwzięć dotyczących informacji i promocji turystycznej w regionie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</w:tr>
    </w:tbl>
    <w:p w:rsidR="00D85DC2" w:rsidRPr="002F1B98" w:rsidRDefault="002F1B98" w:rsidP="002F1B98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Dane podane przez 4 gminy</w:t>
      </w:r>
      <w:r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i Nadleśnictwo Łochów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. </w:t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Wskaźnik w badanym okresie przedstawia tendencję rosnącą. Są to zarówno przedsięwzięcia o małej lokalnej skali, jak i przedsięwzięcia </w:t>
      </w:r>
      <w:r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o skali szerszej, ponadlokalnej. Brakuje sprecyzowania jakiego typu przedsięwzięcia obejmuje wskaźnik, jednakże jego wzrost świadczy o dbałości </w:t>
      </w:r>
      <w:r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w zakresie p</w:t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romocj</w:t>
      </w:r>
      <w:r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i</w:t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i informacj</w:t>
      </w:r>
      <w:r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i</w:t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o naszych lokalnych atrakcjach, często stanowiący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ch</w:t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unikatowe dobro w regionie czy województwie. Pożądany jest dalszy wzrost tego wskaźnika, oraz jego rozwój w kierunku kompleksowości,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aby równolegle z działaniami poszczególnych gmin, toczyły się działania powiatowe na szerszą skalę, jak 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m</w:t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.in. wyjazdy na targi turystyczne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promowanie portalu turystycznego </w:t>
      </w:r>
      <w:hyperlink r:id="rId9" w:history="1">
        <w:r w:rsidR="00EB7867" w:rsidRPr="00907ED7">
          <w:rPr>
            <w:rStyle w:val="Hipercze"/>
            <w:rFonts w:ascii="Garamond" w:eastAsia="Times New Roman" w:hAnsi="Garamond" w:cs="Times New Roman"/>
            <w:sz w:val="24"/>
            <w:szCs w:val="18"/>
            <w:lang w:eastAsia="pl-PL"/>
          </w:rPr>
          <w:t>www.wyprawaznaturaikultura.com.pl</w:t>
        </w:r>
      </w:hyperlink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itp</w:t>
      </w:r>
      <w:r w:rsidR="002F7E05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.</w:t>
      </w:r>
    </w:p>
    <w:p w:rsidR="00184E93" w:rsidRDefault="00184E93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8E0BBD" w:rsidRDefault="008E0BBD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8E0BBD" w:rsidRDefault="008E0BBD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8E0BBD" w:rsidRDefault="008E0BBD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8E0BBD" w:rsidRDefault="008E0BBD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8E0BBD" w:rsidRPr="002F1B98" w:rsidRDefault="008E0BBD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C73EBF" w:rsidRPr="002F1B98" w:rsidRDefault="00C73EBF" w:rsidP="006B4AE9">
      <w:pPr>
        <w:spacing w:after="120" w:line="276" w:lineRule="auto"/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</w:pPr>
      <w:r w:rsidRPr="002F1B98">
        <w:rPr>
          <w:rFonts w:ascii="Garamond" w:hAnsi="Garamond"/>
          <w:b/>
          <w:color w:val="000000" w:themeColor="text1"/>
          <w:sz w:val="28"/>
          <w:szCs w:val="24"/>
        </w:rPr>
        <w:lastRenderedPageBreak/>
        <w:t xml:space="preserve">Kierunek rozwoju 2: </w:t>
      </w:r>
      <w:r w:rsidRPr="002F1B9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4"/>
          <w:lang w:eastAsia="pl-PL"/>
        </w:rPr>
        <w:t>Rozwój i poprawa stanu infrastruktury turystyczno–rekreacyjnej</w:t>
      </w:r>
    </w:p>
    <w:p w:rsidR="00184E93" w:rsidRPr="002F1B98" w:rsidRDefault="0004244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4.2.1.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Długość odnowionych/oznakowanyc</w:t>
      </w:r>
      <w:r w:rsidR="00DA2910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h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 szlaków turystycznych (km)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EB7867" w:rsidTr="00D85DC2">
        <w:tc>
          <w:tcPr>
            <w:tcW w:w="3021" w:type="dxa"/>
          </w:tcPr>
          <w:p w:rsidR="00230C0A" w:rsidRPr="00EB7867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B78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72,2</w:t>
            </w:r>
          </w:p>
        </w:tc>
        <w:tc>
          <w:tcPr>
            <w:tcW w:w="3021" w:type="dxa"/>
          </w:tcPr>
          <w:p w:rsidR="00230C0A" w:rsidRPr="00EB7867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B78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71,7</w:t>
            </w:r>
          </w:p>
        </w:tc>
      </w:tr>
    </w:tbl>
    <w:p w:rsidR="00D85DC2" w:rsidRPr="002F1B98" w:rsidRDefault="00FE3708" w:rsidP="00EB7867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Dane podane przez Marki, Ząbki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,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Nadleśnictwa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Drewnica i Łochów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. Dane podane przez gminy dla obu lat są tożsame, więc można przyjąć, że dotyczą stanu istniejącego i tyle szlaków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w gmina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ch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jest przygotowanych. Nadleśnictwa podały: NDL Drewnica 1 km w 2016 r. i NDL Łochów 0,5 km w 2017 r.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Pożądany jest zrównoważony rozwój sieci szlaków turystycznych, aby uniknąć białych plam na mapie powiatu w tym zakresie, a przede wszystkim udostępnić obszar powiatu turystom rowerowym i pieszym.</w:t>
      </w:r>
    </w:p>
    <w:p w:rsidR="00FE3708" w:rsidRPr="002F1B98" w:rsidRDefault="00FE3708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</w:p>
    <w:p w:rsidR="00184E93" w:rsidRPr="002F1B98" w:rsidRDefault="0004244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4.2.2.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Ilość nowo powstałych obiektów turystycznych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EB7867" w:rsidTr="00D85DC2">
        <w:tc>
          <w:tcPr>
            <w:tcW w:w="3021" w:type="dxa"/>
          </w:tcPr>
          <w:p w:rsidR="00230C0A" w:rsidRPr="00EB7867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B78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1" w:type="dxa"/>
          </w:tcPr>
          <w:p w:rsidR="00230C0A" w:rsidRPr="00EB7867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B78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</w:tbl>
    <w:p w:rsidR="00054484" w:rsidRPr="002F1B98" w:rsidRDefault="00054484" w:rsidP="00EB7867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Nowopowstałe obiekty turystyczne wskazało Nadleśnictwo Drewnica oraz gminy Klembów 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i Poświętne. Budowa i oddanie turystom nowych miejsc jest dobrym znakiem, który świadczy 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o dbałości instytucji różnego typu o atrakcyjność oraz zwiększenie zainteresowania terenem powiatu. Rozwój infrastruktury turystycznej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,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w tym szeroko pojętej kategorii „obiekty turystyczne”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,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znacząco wpływa na postrzeganie atrakcyjności obszaru powiatu i terenów,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na których zostały zlokalizowane. Kategoria ta obejmuje zarówno obiekty noclegowe, obiekty usług gastronomicznych, transportowych, informacyjnych, jak i informacje takie jak tablice informacyjne, obiekty rekreacji i wypoczynku stanowiące cel turystyczny. </w:t>
      </w:r>
    </w:p>
    <w:p w:rsidR="00D85DC2" w:rsidRPr="002F1B98" w:rsidRDefault="00054484" w:rsidP="006B4AE9">
      <w:pPr>
        <w:spacing w:after="120" w:line="276" w:lineRule="auto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</w:t>
      </w:r>
    </w:p>
    <w:p w:rsidR="00184E93" w:rsidRPr="002F1B98" w:rsidRDefault="00042445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4.2.3.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Długość nowo powstałych szlaków turystycznych (km)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EB7867" w:rsidTr="00D85DC2">
        <w:tc>
          <w:tcPr>
            <w:tcW w:w="3021" w:type="dxa"/>
          </w:tcPr>
          <w:p w:rsidR="00230C0A" w:rsidRPr="00EB7867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B78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1" w:type="dxa"/>
          </w:tcPr>
          <w:p w:rsidR="00230C0A" w:rsidRPr="00EB7867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B7867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0,826</w:t>
            </w:r>
          </w:p>
        </w:tc>
      </w:tr>
    </w:tbl>
    <w:p w:rsidR="00D85DC2" w:rsidRPr="002F1B98" w:rsidRDefault="00C3349E" w:rsidP="00EB7867">
      <w:pPr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W badanym okresie na terenie powiatu wołomińskiego przybyło 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1,826 km 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nowych szlaków turystycznych. Wykazały je Ząbki i Wołomin, gminy miejska i wiejsko-miejska. Są dowodem </w:t>
      </w:r>
      <w:r w:rsidR="00975CBE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br/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na to, że turystyka to nie tylko plenery i turystyka 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oparta o atrakcyjność 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przyrodnicz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ą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, ale także turystyka miejska. Są dowodem na to, </w:t>
      </w:r>
      <w:r w:rsidR="00D82E42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ż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e atrakcyjne </w:t>
      </w:r>
      <w:r w:rsidR="00EB7867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trasy</w:t>
      </w:r>
      <w:r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można wyznaczyć nie tylko </w:t>
      </w:r>
      <w:r w:rsidR="00D82E42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w obszarach leśnych i plenerowych</w:t>
      </w:r>
      <w:r w:rsidR="0091304B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>,</w:t>
      </w:r>
      <w:r w:rsidR="00D82E42" w:rsidRPr="002F1B98">
        <w:rPr>
          <w:rFonts w:ascii="Garamond" w:eastAsia="Times New Roman" w:hAnsi="Garamond" w:cs="Times New Roman"/>
          <w:color w:val="000000" w:themeColor="text1"/>
          <w:sz w:val="24"/>
          <w:szCs w:val="18"/>
          <w:lang w:eastAsia="pl-PL"/>
        </w:rPr>
        <w:t xml:space="preserve"> ale także w strefach miejskich.</w:t>
      </w:r>
    </w:p>
    <w:p w:rsidR="00C3349E" w:rsidRPr="002F1B98" w:rsidRDefault="00C3349E" w:rsidP="006B4AE9">
      <w:pPr>
        <w:spacing w:after="120" w:line="276" w:lineRule="auto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</w:p>
    <w:p w:rsidR="00184E93" w:rsidRPr="002F1B98" w:rsidRDefault="00042445" w:rsidP="00EB7867">
      <w:pPr>
        <w:spacing w:after="120" w:line="276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</w:pPr>
      <w:r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4.2.4. </w:t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Ilość zagospodarowanych obszarów atrakcyjnych pod względem turystycznym </w:t>
      </w:r>
      <w:r w:rsidR="00EB7867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br/>
      </w:r>
      <w:r w:rsidR="00184E93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>i rekreacyjnym</w:t>
      </w:r>
      <w:r w:rsidR="00DA2910" w:rsidRPr="002F1B98">
        <w:rPr>
          <w:rFonts w:ascii="Garamond" w:eastAsia="Times New Roman" w:hAnsi="Garamond" w:cs="Times New Roman"/>
          <w:b/>
          <w:color w:val="000000" w:themeColor="text1"/>
          <w:sz w:val="24"/>
          <w:szCs w:val="18"/>
          <w:lang w:eastAsia="pl-PL"/>
        </w:rPr>
        <w:t xml:space="preserve"> (ha)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2F1B98" w:rsidTr="00EB7867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2F1B98">
              <w:rPr>
                <w:rFonts w:ascii="Garamond" w:hAnsi="Garamond" w:cs="Calibri"/>
                <w:color w:val="000000" w:themeColor="text1"/>
              </w:rPr>
              <w:t>1,36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C0A" w:rsidRPr="002F1B98" w:rsidRDefault="00230C0A" w:rsidP="00CE39E5">
            <w:pPr>
              <w:spacing w:after="120" w:line="276" w:lineRule="auto"/>
              <w:jc w:val="right"/>
              <w:rPr>
                <w:rFonts w:ascii="Garamond" w:hAnsi="Garamond" w:cs="Calibri"/>
                <w:color w:val="000000" w:themeColor="text1"/>
              </w:rPr>
            </w:pPr>
            <w:r w:rsidRPr="002F1B98">
              <w:rPr>
                <w:rFonts w:ascii="Garamond" w:hAnsi="Garamond" w:cs="Calibri"/>
                <w:color w:val="000000" w:themeColor="text1"/>
              </w:rPr>
              <w:t>2,89</w:t>
            </w:r>
          </w:p>
        </w:tc>
      </w:tr>
    </w:tbl>
    <w:p w:rsidR="00D85DC2" w:rsidRPr="002F1B98" w:rsidRDefault="0091304B" w:rsidP="00EB7867">
      <w:pPr>
        <w:spacing w:after="120" w:line="276" w:lineRule="auto"/>
        <w:jc w:val="both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  <w:r w:rsidRPr="002F1B98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Wskaźnik, którego wzrost jest jak najbardziej pożądany. Wśród stale rosnącej liczby mieszkańców powiatu istnieje duża potrzeba rozwoju i zwiększania powierzchni atrakcyjnej turystycznie </w:t>
      </w:r>
      <w:r w:rsidR="00EB786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2F1B98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i rekreacyjnie. Poczynając od parków osiedlowych i miejskich, po duże kompleksy rekreacyjno-turystyczne, tj. akweny wodne z zagospodarowanym otoczeniem, kompleksy leśne z wytyczonymi szlakami, itp. Turystyka aktywna i rekreacja obejmują tak szerokie pojęcia, że niemal każde przedsięwzięcie urozmaicenia i zagospodarowania obszarów mające na celu udostępnienie </w:t>
      </w:r>
      <w:r w:rsidR="00EB786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2F1B98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ich społeczności, przyczynia się do zwiększenia atrakcyjności turystycznej i rekreacyjnej gminy </w:t>
      </w:r>
      <w:r w:rsidR="00EB7867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br/>
      </w:r>
      <w:r w:rsidRPr="002F1B98"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  <w:t xml:space="preserve">i powiatu. </w:t>
      </w:r>
    </w:p>
    <w:p w:rsidR="00DA2910" w:rsidRPr="002F1B98" w:rsidRDefault="00DA2910" w:rsidP="006B4AE9">
      <w:pPr>
        <w:spacing w:after="120" w:line="276" w:lineRule="auto"/>
        <w:rPr>
          <w:rFonts w:ascii="Garamond" w:eastAsia="Times New Roman" w:hAnsi="Garamond" w:cs="Times New Roman"/>
          <w:bCs/>
          <w:color w:val="000000" w:themeColor="text1"/>
          <w:sz w:val="24"/>
          <w:szCs w:val="24"/>
          <w:lang w:eastAsia="pl-PL"/>
        </w:rPr>
      </w:pPr>
    </w:p>
    <w:p w:rsidR="00C73EBF" w:rsidRPr="002F1B98" w:rsidRDefault="00C73EBF" w:rsidP="006B4AE9">
      <w:pPr>
        <w:spacing w:after="120" w:line="276" w:lineRule="auto"/>
        <w:rPr>
          <w:rFonts w:ascii="Garamond" w:hAnsi="Garamond"/>
          <w:b/>
          <w:color w:val="000000" w:themeColor="text1"/>
          <w:sz w:val="28"/>
          <w:szCs w:val="24"/>
        </w:rPr>
      </w:pPr>
      <w:r w:rsidRPr="002F1B98">
        <w:rPr>
          <w:rFonts w:ascii="Garamond" w:hAnsi="Garamond"/>
          <w:b/>
          <w:color w:val="000000" w:themeColor="text1"/>
          <w:sz w:val="28"/>
          <w:szCs w:val="24"/>
        </w:rPr>
        <w:t>Kierunek rozwoju 3: Zagospodarowanie potencjału przyrodniczego dla rozwoju turystyki</w:t>
      </w:r>
    </w:p>
    <w:p w:rsidR="00184E93" w:rsidRPr="002F1B98" w:rsidRDefault="00042445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2F1B98">
        <w:rPr>
          <w:rFonts w:ascii="Garamond" w:hAnsi="Garamond"/>
          <w:b/>
          <w:color w:val="000000" w:themeColor="text1"/>
          <w:sz w:val="24"/>
          <w:szCs w:val="24"/>
        </w:rPr>
        <w:t xml:space="preserve">4.3.1. </w:t>
      </w:r>
      <w:r w:rsidR="00184E93" w:rsidRPr="002F1B98">
        <w:rPr>
          <w:rFonts w:ascii="Garamond" w:hAnsi="Garamond"/>
          <w:b/>
          <w:color w:val="000000" w:themeColor="text1"/>
          <w:sz w:val="24"/>
          <w:szCs w:val="24"/>
        </w:rPr>
        <w:t>Liczba ścieżek edukacyjnych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66304D" w:rsidTr="00D85DC2">
        <w:tc>
          <w:tcPr>
            <w:tcW w:w="3021" w:type="dxa"/>
          </w:tcPr>
          <w:p w:rsidR="00230C0A" w:rsidRPr="0066304D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6304D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1" w:type="dxa"/>
          </w:tcPr>
          <w:p w:rsidR="00230C0A" w:rsidRPr="0066304D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6304D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</w:tbl>
    <w:p w:rsidR="002B65D7" w:rsidRPr="002F1B98" w:rsidRDefault="006072FC" w:rsidP="0066304D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W badanym okresie wybudowano </w:t>
      </w:r>
      <w:r w:rsidR="002B65D7" w:rsidRPr="002F1B98">
        <w:rPr>
          <w:rFonts w:ascii="Garamond" w:hAnsi="Garamond"/>
          <w:color w:val="000000" w:themeColor="text1"/>
          <w:sz w:val="24"/>
          <w:szCs w:val="24"/>
        </w:rPr>
        <w:t xml:space="preserve">i oddano do użytku mieszkańcom i turystom </w:t>
      </w: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ścieżkę </w:t>
      </w:r>
      <w:r w:rsidR="00975CBE">
        <w:rPr>
          <w:rFonts w:ascii="Garamond" w:hAnsi="Garamond"/>
          <w:color w:val="000000" w:themeColor="text1"/>
          <w:sz w:val="24"/>
          <w:szCs w:val="24"/>
        </w:rPr>
        <w:br/>
      </w: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w Markach, Wołominie oraz Kątach Czernickich. 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 xml:space="preserve">Wykazano też ścieżkę w Boruczy, przy której brak </w:t>
      </w:r>
      <w:r w:rsidR="0066304D">
        <w:rPr>
          <w:rFonts w:ascii="Garamond" w:hAnsi="Garamond"/>
          <w:color w:val="000000" w:themeColor="text1"/>
          <w:sz w:val="24"/>
          <w:szCs w:val="24"/>
        </w:rPr>
        <w:t>jest roku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 xml:space="preserve"> wykonania, </w:t>
      </w:r>
      <w:r w:rsidR="0066304D">
        <w:rPr>
          <w:rFonts w:ascii="Garamond" w:hAnsi="Garamond"/>
          <w:color w:val="000000" w:themeColor="text1"/>
          <w:sz w:val="24"/>
          <w:szCs w:val="24"/>
        </w:rPr>
        <w:t>więc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 xml:space="preserve"> przyjęto 2017 r. </w:t>
      </w:r>
      <w:r w:rsidR="002B65D7" w:rsidRPr="002F1B98">
        <w:rPr>
          <w:rFonts w:ascii="Garamond" w:hAnsi="Garamond"/>
          <w:color w:val="000000" w:themeColor="text1"/>
          <w:sz w:val="24"/>
          <w:szCs w:val="24"/>
        </w:rPr>
        <w:t xml:space="preserve">Wskaźnik jest odpowiedzią na utrzymujący </w:t>
      </w:r>
      <w:r w:rsidR="00975CBE">
        <w:rPr>
          <w:rFonts w:ascii="Garamond" w:hAnsi="Garamond"/>
          <w:color w:val="000000" w:themeColor="text1"/>
          <w:sz w:val="24"/>
          <w:szCs w:val="24"/>
        </w:rPr>
        <w:br/>
      </w:r>
      <w:r w:rsidR="002B65D7" w:rsidRPr="002F1B98">
        <w:rPr>
          <w:rFonts w:ascii="Garamond" w:hAnsi="Garamond"/>
          <w:color w:val="000000" w:themeColor="text1"/>
          <w:sz w:val="24"/>
          <w:szCs w:val="24"/>
        </w:rPr>
        <w:t xml:space="preserve">się trend powrotu do natury i </w:t>
      </w:r>
      <w:r w:rsidR="0066304D">
        <w:rPr>
          <w:rFonts w:ascii="Garamond" w:hAnsi="Garamond"/>
          <w:color w:val="000000" w:themeColor="text1"/>
          <w:sz w:val="24"/>
          <w:szCs w:val="24"/>
        </w:rPr>
        <w:t xml:space="preserve">potrzeby </w:t>
      </w:r>
      <w:r w:rsidR="002B65D7" w:rsidRPr="002F1B98">
        <w:rPr>
          <w:rFonts w:ascii="Garamond" w:hAnsi="Garamond"/>
          <w:color w:val="000000" w:themeColor="text1"/>
          <w:sz w:val="24"/>
          <w:szCs w:val="24"/>
        </w:rPr>
        <w:t>kontaktu z przyrodą, która nas otacza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 xml:space="preserve">, oraz </w:t>
      </w:r>
      <w:r w:rsidR="0066304D">
        <w:rPr>
          <w:rFonts w:ascii="Garamond" w:hAnsi="Garamond"/>
          <w:color w:val="000000" w:themeColor="text1"/>
          <w:sz w:val="24"/>
          <w:szCs w:val="24"/>
        </w:rPr>
        <w:t xml:space="preserve">wzrastające 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>zainteresowanie lokalną historią i kulturą</w:t>
      </w:r>
      <w:r w:rsidR="002B65D7" w:rsidRPr="002F1B98">
        <w:rPr>
          <w:rFonts w:ascii="Garamond" w:hAnsi="Garamond"/>
          <w:color w:val="000000" w:themeColor="text1"/>
          <w:sz w:val="24"/>
          <w:szCs w:val="24"/>
        </w:rPr>
        <w:t xml:space="preserve">. Budowa ścieżek wskazuje na potrzebę edukacji </w:t>
      </w:r>
      <w:r w:rsidR="00975CBE">
        <w:rPr>
          <w:rFonts w:ascii="Garamond" w:hAnsi="Garamond"/>
          <w:color w:val="000000" w:themeColor="text1"/>
          <w:sz w:val="24"/>
          <w:szCs w:val="24"/>
        </w:rPr>
        <w:br/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>w zakresie dziedzictwa historyczno-kulturowego</w:t>
      </w:r>
      <w:r w:rsidR="00F643ED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2B65D7" w:rsidRPr="002F1B98">
        <w:rPr>
          <w:rFonts w:ascii="Garamond" w:hAnsi="Garamond"/>
          <w:color w:val="000000" w:themeColor="text1"/>
          <w:sz w:val="24"/>
          <w:szCs w:val="24"/>
        </w:rPr>
        <w:t xml:space="preserve">przybliżania cech ekosystemów </w:t>
      </w:r>
      <w:r w:rsidR="00975CBE">
        <w:rPr>
          <w:rFonts w:ascii="Garamond" w:hAnsi="Garamond"/>
          <w:color w:val="000000" w:themeColor="text1"/>
          <w:sz w:val="24"/>
          <w:szCs w:val="24"/>
        </w:rPr>
        <w:br/>
      </w:r>
      <w:r w:rsidR="002B65D7" w:rsidRPr="002F1B98">
        <w:rPr>
          <w:rFonts w:ascii="Garamond" w:hAnsi="Garamond"/>
          <w:color w:val="000000" w:themeColor="text1"/>
          <w:sz w:val="24"/>
          <w:szCs w:val="24"/>
        </w:rPr>
        <w:t>oraz prawidłowych zachowań podczas pobytu na łonie przyrody.</w:t>
      </w:r>
    </w:p>
    <w:p w:rsidR="00D85DC2" w:rsidRPr="002F1B98" w:rsidRDefault="002B65D7" w:rsidP="00F643ED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Brakuje odniesienia do już istniejącej infrastruktury o tym charakterze, zatem ciężko zinterpretować, czy ta liczba to dużo czy mało w skali całego powiatu. </w:t>
      </w:r>
    </w:p>
    <w:p w:rsidR="002B65D7" w:rsidRPr="002F1B98" w:rsidRDefault="002B65D7" w:rsidP="006B4AE9">
      <w:pPr>
        <w:spacing w:after="120" w:line="276" w:lineRule="auto"/>
        <w:rPr>
          <w:rFonts w:ascii="Garamond" w:hAnsi="Garamond"/>
          <w:color w:val="000000" w:themeColor="text1"/>
          <w:sz w:val="24"/>
          <w:szCs w:val="24"/>
        </w:rPr>
      </w:pPr>
    </w:p>
    <w:p w:rsidR="00184E93" w:rsidRPr="002F1B98" w:rsidRDefault="00042445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2F1B98">
        <w:rPr>
          <w:rFonts w:ascii="Garamond" w:hAnsi="Garamond"/>
          <w:b/>
          <w:color w:val="000000" w:themeColor="text1"/>
          <w:sz w:val="24"/>
          <w:szCs w:val="24"/>
        </w:rPr>
        <w:t xml:space="preserve">4.3.2. </w:t>
      </w:r>
      <w:r w:rsidR="00184E93" w:rsidRPr="002F1B98">
        <w:rPr>
          <w:rFonts w:ascii="Garamond" w:hAnsi="Garamond"/>
          <w:b/>
          <w:color w:val="000000" w:themeColor="text1"/>
          <w:sz w:val="24"/>
          <w:szCs w:val="24"/>
        </w:rPr>
        <w:t>Liczba gospodarstw rolnych zajmujących się produkcją ekologiczną (szt.)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F643ED" w:rsidTr="00D85DC2">
        <w:tc>
          <w:tcPr>
            <w:tcW w:w="3021" w:type="dxa"/>
          </w:tcPr>
          <w:p w:rsidR="00230C0A" w:rsidRPr="00F643ED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F643ED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bd</w:t>
            </w:r>
            <w:proofErr w:type="spellEnd"/>
          </w:p>
        </w:tc>
        <w:tc>
          <w:tcPr>
            <w:tcW w:w="3021" w:type="dxa"/>
          </w:tcPr>
          <w:p w:rsidR="00230C0A" w:rsidRPr="00F643ED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43ED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</w:tbl>
    <w:p w:rsidR="00D85DC2" w:rsidRPr="002F1B98" w:rsidRDefault="002B65D7" w:rsidP="00975CBE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F1B98">
        <w:rPr>
          <w:rFonts w:ascii="Garamond" w:hAnsi="Garamond"/>
          <w:color w:val="000000" w:themeColor="text1"/>
          <w:sz w:val="24"/>
          <w:szCs w:val="24"/>
        </w:rPr>
        <w:t>Niestety żadna gmina ani powiat nie prowadzi ewidencji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 xml:space="preserve"> lub rejestrów</w:t>
      </w: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 podmiotów zajmujących się produkcją ekologiczną. 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 xml:space="preserve">Podano tylko jedno przedsiębiorstwo o takim charakterze, o którym powszechnie wiadomo, że jest i funkcjonuje. </w:t>
      </w: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Brak </w:t>
      </w:r>
      <w:r w:rsidR="009A02A8" w:rsidRPr="002F1B98">
        <w:rPr>
          <w:rFonts w:ascii="Garamond" w:hAnsi="Garamond"/>
          <w:color w:val="000000" w:themeColor="text1"/>
          <w:sz w:val="24"/>
          <w:szCs w:val="24"/>
        </w:rPr>
        <w:t xml:space="preserve">szerszych </w:t>
      </w: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danych nie oznacza jednak, że takie gospodarstwa na terenie powiatu się nie znajdują. Wskazane byłoby przeprowadzenie głębokiej diagnozy terenowej. </w:t>
      </w:r>
    </w:p>
    <w:p w:rsidR="002B65D7" w:rsidRDefault="002B65D7" w:rsidP="006B4AE9">
      <w:pPr>
        <w:spacing w:after="120" w:line="276" w:lineRule="auto"/>
        <w:rPr>
          <w:rFonts w:ascii="Garamond" w:hAnsi="Garamond"/>
          <w:color w:val="000000" w:themeColor="text1"/>
          <w:sz w:val="24"/>
          <w:szCs w:val="24"/>
        </w:rPr>
      </w:pPr>
    </w:p>
    <w:p w:rsidR="008E0BBD" w:rsidRDefault="008E0BBD" w:rsidP="006B4AE9">
      <w:pPr>
        <w:spacing w:after="120" w:line="276" w:lineRule="auto"/>
        <w:rPr>
          <w:rFonts w:ascii="Garamond" w:hAnsi="Garamond"/>
          <w:color w:val="000000" w:themeColor="text1"/>
          <w:sz w:val="24"/>
          <w:szCs w:val="24"/>
        </w:rPr>
      </w:pPr>
    </w:p>
    <w:p w:rsidR="008E0BBD" w:rsidRDefault="008E0BBD" w:rsidP="006B4AE9">
      <w:pPr>
        <w:spacing w:after="120" w:line="276" w:lineRule="auto"/>
        <w:rPr>
          <w:rFonts w:ascii="Garamond" w:hAnsi="Garamond"/>
          <w:color w:val="000000" w:themeColor="text1"/>
          <w:sz w:val="24"/>
          <w:szCs w:val="24"/>
        </w:rPr>
      </w:pPr>
    </w:p>
    <w:p w:rsidR="008E0BBD" w:rsidRDefault="008E0BBD" w:rsidP="006B4AE9">
      <w:pPr>
        <w:spacing w:after="120" w:line="276" w:lineRule="auto"/>
        <w:rPr>
          <w:rFonts w:ascii="Garamond" w:hAnsi="Garamond"/>
          <w:color w:val="000000" w:themeColor="text1"/>
          <w:sz w:val="24"/>
          <w:szCs w:val="24"/>
        </w:rPr>
      </w:pPr>
    </w:p>
    <w:p w:rsidR="008E0BBD" w:rsidRPr="002F1B98" w:rsidRDefault="008E0BBD" w:rsidP="006B4AE9">
      <w:pPr>
        <w:spacing w:after="120" w:line="276" w:lineRule="auto"/>
        <w:rPr>
          <w:rFonts w:ascii="Garamond" w:hAnsi="Garamond"/>
          <w:color w:val="000000" w:themeColor="text1"/>
          <w:sz w:val="24"/>
          <w:szCs w:val="24"/>
        </w:rPr>
      </w:pPr>
    </w:p>
    <w:p w:rsidR="00184E93" w:rsidRPr="002F1B98" w:rsidRDefault="00042445" w:rsidP="006B4AE9">
      <w:pPr>
        <w:spacing w:after="12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2F1B98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4.3.3. </w:t>
      </w:r>
      <w:r w:rsidR="00184E93" w:rsidRPr="002F1B98">
        <w:rPr>
          <w:rFonts w:ascii="Garamond" w:hAnsi="Garamond"/>
          <w:b/>
          <w:color w:val="000000" w:themeColor="text1"/>
          <w:sz w:val="24"/>
          <w:szCs w:val="24"/>
        </w:rPr>
        <w:t>Długość zagospodarowanych cieków wodnych na organizację rekreacji wodnej (km)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230C0A" w:rsidRPr="002F1B98" w:rsidTr="00D85DC2"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021" w:type="dxa"/>
          </w:tcPr>
          <w:p w:rsidR="00230C0A" w:rsidRPr="002F1B98" w:rsidRDefault="00230C0A" w:rsidP="00CE39E5">
            <w:pPr>
              <w:spacing w:after="120" w:line="27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F1B98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2017</w:t>
            </w:r>
          </w:p>
        </w:tc>
      </w:tr>
      <w:tr w:rsidR="00230C0A" w:rsidRPr="00F643ED" w:rsidTr="00D85DC2">
        <w:tc>
          <w:tcPr>
            <w:tcW w:w="3021" w:type="dxa"/>
          </w:tcPr>
          <w:p w:rsidR="00230C0A" w:rsidRPr="00F643ED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43ED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21" w:type="dxa"/>
          </w:tcPr>
          <w:p w:rsidR="00230C0A" w:rsidRPr="00F643ED" w:rsidRDefault="00230C0A" w:rsidP="00CE39E5">
            <w:pPr>
              <w:spacing w:after="120" w:line="276" w:lineRule="auto"/>
              <w:jc w:val="right"/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643ED">
              <w:rPr>
                <w:rFonts w:ascii="Garamond" w:eastAsia="Times New Roman" w:hAnsi="Garamond" w:cs="Times New Roman"/>
                <w:bCs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</w:tr>
    </w:tbl>
    <w:p w:rsidR="00021947" w:rsidRPr="002F1B98" w:rsidRDefault="00670CF3" w:rsidP="006B4AE9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F1B98">
        <w:rPr>
          <w:rFonts w:ascii="Garamond" w:hAnsi="Garamond"/>
          <w:color w:val="000000" w:themeColor="text1"/>
          <w:sz w:val="24"/>
          <w:szCs w:val="24"/>
        </w:rPr>
        <w:t>Jedyny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F1B98">
        <w:rPr>
          <w:rFonts w:ascii="Garamond" w:hAnsi="Garamond"/>
          <w:color w:val="000000" w:themeColor="text1"/>
          <w:sz w:val="24"/>
          <w:szCs w:val="24"/>
        </w:rPr>
        <w:t>obszar z zagospodarowanym</w:t>
      </w:r>
      <w:r w:rsidR="00F643ED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>ciek</w:t>
      </w:r>
      <w:r w:rsidR="00F643ED">
        <w:rPr>
          <w:rFonts w:ascii="Garamond" w:hAnsi="Garamond"/>
          <w:color w:val="000000" w:themeColor="text1"/>
          <w:sz w:val="24"/>
          <w:szCs w:val="24"/>
        </w:rPr>
        <w:t>ami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 xml:space="preserve"> wodny</w:t>
      </w:r>
      <w:r w:rsidR="00F643ED">
        <w:rPr>
          <w:rFonts w:ascii="Garamond" w:hAnsi="Garamond"/>
          <w:color w:val="000000" w:themeColor="text1"/>
          <w:sz w:val="24"/>
          <w:szCs w:val="24"/>
        </w:rPr>
        <w:t>mi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 xml:space="preserve"> został</w:t>
      </w: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 wykazany przez Gminę Jadów.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 xml:space="preserve"> Walory Liwca skłaniają do wykorzystania go jako jednego z filarów </w:t>
      </w:r>
      <w:r w:rsidR="00F643ED">
        <w:rPr>
          <w:rFonts w:ascii="Garamond" w:hAnsi="Garamond"/>
          <w:color w:val="000000" w:themeColor="text1"/>
          <w:sz w:val="24"/>
          <w:szCs w:val="24"/>
        </w:rPr>
        <w:t xml:space="preserve">rozwoju 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>turysty</w:t>
      </w:r>
      <w:r w:rsidR="00F643ED">
        <w:rPr>
          <w:rFonts w:ascii="Garamond" w:hAnsi="Garamond"/>
          <w:color w:val="000000" w:themeColor="text1"/>
          <w:sz w:val="24"/>
          <w:szCs w:val="24"/>
        </w:rPr>
        <w:t>ki aktywn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>ej. Jednym z proponowanych rodzajów turystyki jest turystyka kajakowa</w:t>
      </w:r>
      <w:r w:rsidR="00F643ED">
        <w:rPr>
          <w:rFonts w:ascii="Garamond" w:hAnsi="Garamond"/>
          <w:color w:val="000000" w:themeColor="text1"/>
          <w:sz w:val="24"/>
          <w:szCs w:val="24"/>
        </w:rPr>
        <w:t>, jeszcze</w:t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 xml:space="preserve"> unikatowa </w:t>
      </w:r>
      <w:r w:rsidR="00F643ED">
        <w:rPr>
          <w:rFonts w:ascii="Garamond" w:hAnsi="Garamond"/>
          <w:color w:val="000000" w:themeColor="text1"/>
          <w:sz w:val="24"/>
          <w:szCs w:val="24"/>
        </w:rPr>
        <w:br/>
      </w:r>
      <w:r w:rsidR="003A203F" w:rsidRPr="002F1B98">
        <w:rPr>
          <w:rFonts w:ascii="Garamond" w:hAnsi="Garamond"/>
          <w:color w:val="000000" w:themeColor="text1"/>
          <w:sz w:val="24"/>
          <w:szCs w:val="24"/>
        </w:rPr>
        <w:t>na obszarze powiatu.</w:t>
      </w:r>
    </w:p>
    <w:p w:rsidR="00021947" w:rsidRPr="007119A5" w:rsidRDefault="00D562DE" w:rsidP="006B4AE9">
      <w:pPr>
        <w:spacing w:after="12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F1B98">
        <w:rPr>
          <w:rFonts w:ascii="Garamond" w:hAnsi="Garamond"/>
          <w:color w:val="000000" w:themeColor="text1"/>
          <w:sz w:val="24"/>
          <w:szCs w:val="24"/>
        </w:rPr>
        <w:t xml:space="preserve">Brak zagospodarowania turystycznego pozostałych rzek na obszarze powiatu wynika w dużej mierze z nieuregulowanej sytuacji </w:t>
      </w:r>
      <w:r w:rsidR="00042445" w:rsidRPr="002F1B98">
        <w:rPr>
          <w:rFonts w:ascii="Garamond" w:hAnsi="Garamond"/>
          <w:color w:val="000000" w:themeColor="text1"/>
          <w:sz w:val="24"/>
          <w:szCs w:val="24"/>
        </w:rPr>
        <w:t xml:space="preserve">prawnej terenów nadrzecznych, oraz objęcia terenów ochroną </w:t>
      </w:r>
      <w:r w:rsidR="00F643ED">
        <w:rPr>
          <w:rFonts w:ascii="Garamond" w:hAnsi="Garamond"/>
          <w:color w:val="000000" w:themeColor="text1"/>
          <w:sz w:val="24"/>
          <w:szCs w:val="24"/>
        </w:rPr>
        <w:br/>
      </w:r>
      <w:r w:rsidR="00042445" w:rsidRPr="002F1B98">
        <w:rPr>
          <w:rFonts w:ascii="Garamond" w:hAnsi="Garamond"/>
          <w:color w:val="000000" w:themeColor="text1"/>
          <w:sz w:val="24"/>
          <w:szCs w:val="24"/>
        </w:rPr>
        <w:t xml:space="preserve">w ramach sieci Natura 2000. Ponadto niepewna sytuacja hydrologiczna i wpływające na nią znaczące wahania poziomów wód związane z porami roku, oraz występującymi opadami powodują, że inwestorzy, zarówno samorządowi jak i prywatni obawiają się ewentualnych strat </w:t>
      </w:r>
      <w:r w:rsidR="00F643ED">
        <w:rPr>
          <w:rFonts w:ascii="Garamond" w:hAnsi="Garamond"/>
          <w:color w:val="000000" w:themeColor="text1"/>
          <w:sz w:val="24"/>
          <w:szCs w:val="24"/>
        </w:rPr>
        <w:br/>
      </w:r>
      <w:r w:rsidR="00042445" w:rsidRPr="002F1B98">
        <w:rPr>
          <w:rFonts w:ascii="Garamond" w:hAnsi="Garamond"/>
          <w:color w:val="000000" w:themeColor="text1"/>
          <w:sz w:val="24"/>
          <w:szCs w:val="24"/>
        </w:rPr>
        <w:t xml:space="preserve">i nie podejmują inwestycji na tych terenach. Sytuację może zmienić budowa zbiorników retencyjnych, które przy odpowiedniej infrastrukturze rekreacyjnej i turystycznej mogą stać </w:t>
      </w:r>
      <w:r w:rsidR="00CE39E5">
        <w:rPr>
          <w:rFonts w:ascii="Garamond" w:hAnsi="Garamond"/>
          <w:color w:val="000000" w:themeColor="text1"/>
          <w:sz w:val="24"/>
          <w:szCs w:val="24"/>
        </w:rPr>
        <w:br/>
      </w:r>
      <w:r w:rsidR="00042445" w:rsidRPr="002F1B98">
        <w:rPr>
          <w:rFonts w:ascii="Garamond" w:hAnsi="Garamond"/>
          <w:color w:val="000000" w:themeColor="text1"/>
          <w:sz w:val="24"/>
          <w:szCs w:val="24"/>
        </w:rPr>
        <w:t>się ciekawą atrakcją na obszarze</w:t>
      </w:r>
      <w:r w:rsidR="00042445" w:rsidRPr="007119A5">
        <w:rPr>
          <w:rFonts w:ascii="Garamond" w:hAnsi="Garamond"/>
          <w:color w:val="000000" w:themeColor="text1"/>
          <w:sz w:val="24"/>
          <w:szCs w:val="24"/>
        </w:rPr>
        <w:t xml:space="preserve"> powiatu. </w:t>
      </w:r>
    </w:p>
    <w:sectPr w:rsidR="00021947" w:rsidRPr="007119A5" w:rsidSect="00EE10EB">
      <w:pgSz w:w="11906" w:h="16838"/>
      <w:pgMar w:top="1417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41B" w:rsidRDefault="00F0041B" w:rsidP="00D23ABC">
      <w:pPr>
        <w:spacing w:after="0" w:line="240" w:lineRule="auto"/>
      </w:pPr>
      <w:r>
        <w:separator/>
      </w:r>
    </w:p>
  </w:endnote>
  <w:endnote w:type="continuationSeparator" w:id="0">
    <w:p w:rsidR="00F0041B" w:rsidRDefault="00F0041B" w:rsidP="00D2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6"/>
      </w:rPr>
      <w:id w:val="-444467719"/>
      <w:docPartObj>
        <w:docPartGallery w:val="Page Numbers (Bottom of Page)"/>
        <w:docPartUnique/>
      </w:docPartObj>
    </w:sdtPr>
    <w:sdtEndPr/>
    <w:sdtContent>
      <w:p w:rsidR="00927E76" w:rsidRPr="00300BBD" w:rsidRDefault="00927E76">
        <w:pPr>
          <w:pStyle w:val="Stopka"/>
          <w:jc w:val="right"/>
          <w:rPr>
            <w:rFonts w:ascii="Garamond" w:hAnsi="Garamond"/>
            <w:sz w:val="16"/>
          </w:rPr>
        </w:pPr>
        <w:r w:rsidRPr="00300BBD">
          <w:rPr>
            <w:rFonts w:ascii="Garamond" w:hAnsi="Garamond"/>
            <w:sz w:val="16"/>
          </w:rPr>
          <w:fldChar w:fldCharType="begin"/>
        </w:r>
        <w:r w:rsidRPr="00300BBD">
          <w:rPr>
            <w:rFonts w:ascii="Garamond" w:hAnsi="Garamond"/>
            <w:sz w:val="16"/>
          </w:rPr>
          <w:instrText>PAGE   \* MERGEFORMAT</w:instrText>
        </w:r>
        <w:r w:rsidRPr="00300BBD">
          <w:rPr>
            <w:rFonts w:ascii="Garamond" w:hAnsi="Garamond"/>
            <w:sz w:val="16"/>
          </w:rPr>
          <w:fldChar w:fldCharType="separate"/>
        </w:r>
        <w:r>
          <w:rPr>
            <w:rFonts w:ascii="Garamond" w:hAnsi="Garamond"/>
            <w:noProof/>
            <w:sz w:val="16"/>
          </w:rPr>
          <w:t>22</w:t>
        </w:r>
        <w:r w:rsidRPr="00300BBD">
          <w:rPr>
            <w:rFonts w:ascii="Garamond" w:hAnsi="Garamond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41B" w:rsidRDefault="00F0041B" w:rsidP="00D23ABC">
      <w:pPr>
        <w:spacing w:after="0" w:line="240" w:lineRule="auto"/>
      </w:pPr>
      <w:r>
        <w:separator/>
      </w:r>
    </w:p>
  </w:footnote>
  <w:footnote w:type="continuationSeparator" w:id="0">
    <w:p w:rsidR="00F0041B" w:rsidRDefault="00F0041B" w:rsidP="00D2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E600B"/>
    <w:multiLevelType w:val="multilevel"/>
    <w:tmpl w:val="A482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F"/>
    <w:rsid w:val="00020F79"/>
    <w:rsid w:val="00021947"/>
    <w:rsid w:val="0002527A"/>
    <w:rsid w:val="000321A2"/>
    <w:rsid w:val="000332BF"/>
    <w:rsid w:val="00034392"/>
    <w:rsid w:val="00042445"/>
    <w:rsid w:val="00054484"/>
    <w:rsid w:val="00064B79"/>
    <w:rsid w:val="00067621"/>
    <w:rsid w:val="000B16BF"/>
    <w:rsid w:val="000B454D"/>
    <w:rsid w:val="000C2C43"/>
    <w:rsid w:val="0010593B"/>
    <w:rsid w:val="00116B3A"/>
    <w:rsid w:val="00130EE4"/>
    <w:rsid w:val="00152967"/>
    <w:rsid w:val="00154090"/>
    <w:rsid w:val="00184E93"/>
    <w:rsid w:val="001D21DC"/>
    <w:rsid w:val="001D30FA"/>
    <w:rsid w:val="00226CAC"/>
    <w:rsid w:val="00230C0A"/>
    <w:rsid w:val="002343D6"/>
    <w:rsid w:val="002A332B"/>
    <w:rsid w:val="002A3E09"/>
    <w:rsid w:val="002B65D7"/>
    <w:rsid w:val="002F1B98"/>
    <w:rsid w:val="002F4E08"/>
    <w:rsid w:val="002F7E05"/>
    <w:rsid w:val="00300BBD"/>
    <w:rsid w:val="00301EE0"/>
    <w:rsid w:val="00313A42"/>
    <w:rsid w:val="0031420F"/>
    <w:rsid w:val="00333D77"/>
    <w:rsid w:val="003351DD"/>
    <w:rsid w:val="0035450A"/>
    <w:rsid w:val="0036091B"/>
    <w:rsid w:val="003679E4"/>
    <w:rsid w:val="00370237"/>
    <w:rsid w:val="003773BA"/>
    <w:rsid w:val="00380B0F"/>
    <w:rsid w:val="003A203F"/>
    <w:rsid w:val="003A4050"/>
    <w:rsid w:val="003B2107"/>
    <w:rsid w:val="003D1F15"/>
    <w:rsid w:val="003F0F30"/>
    <w:rsid w:val="003F1023"/>
    <w:rsid w:val="00400FA8"/>
    <w:rsid w:val="00435A22"/>
    <w:rsid w:val="004646F6"/>
    <w:rsid w:val="00493FAD"/>
    <w:rsid w:val="004A502A"/>
    <w:rsid w:val="004B1043"/>
    <w:rsid w:val="005264EF"/>
    <w:rsid w:val="00540CAC"/>
    <w:rsid w:val="00547B8C"/>
    <w:rsid w:val="00552480"/>
    <w:rsid w:val="00583D24"/>
    <w:rsid w:val="00590CD4"/>
    <w:rsid w:val="00596F21"/>
    <w:rsid w:val="005A78A7"/>
    <w:rsid w:val="005C4CCF"/>
    <w:rsid w:val="006072FC"/>
    <w:rsid w:val="00621D84"/>
    <w:rsid w:val="006246D0"/>
    <w:rsid w:val="0066304D"/>
    <w:rsid w:val="00670CF3"/>
    <w:rsid w:val="00675C45"/>
    <w:rsid w:val="00692EBA"/>
    <w:rsid w:val="006B4AE9"/>
    <w:rsid w:val="006C1014"/>
    <w:rsid w:val="006F1E0A"/>
    <w:rsid w:val="007119A5"/>
    <w:rsid w:val="00740393"/>
    <w:rsid w:val="00750D7A"/>
    <w:rsid w:val="00754D40"/>
    <w:rsid w:val="0075586B"/>
    <w:rsid w:val="00763E39"/>
    <w:rsid w:val="007C56A6"/>
    <w:rsid w:val="007D4244"/>
    <w:rsid w:val="007F1DB0"/>
    <w:rsid w:val="007F2583"/>
    <w:rsid w:val="007F38DC"/>
    <w:rsid w:val="007F3E7B"/>
    <w:rsid w:val="008039B2"/>
    <w:rsid w:val="00806D2E"/>
    <w:rsid w:val="00821A69"/>
    <w:rsid w:val="00827B54"/>
    <w:rsid w:val="00853230"/>
    <w:rsid w:val="008532C8"/>
    <w:rsid w:val="0085790D"/>
    <w:rsid w:val="008A62EC"/>
    <w:rsid w:val="008C0733"/>
    <w:rsid w:val="008E0BBD"/>
    <w:rsid w:val="0091304B"/>
    <w:rsid w:val="00920C59"/>
    <w:rsid w:val="00927E76"/>
    <w:rsid w:val="00936A4C"/>
    <w:rsid w:val="009514AC"/>
    <w:rsid w:val="00975CBE"/>
    <w:rsid w:val="00985173"/>
    <w:rsid w:val="009864C1"/>
    <w:rsid w:val="009A02A8"/>
    <w:rsid w:val="009A1F6A"/>
    <w:rsid w:val="009A3FDA"/>
    <w:rsid w:val="009C1000"/>
    <w:rsid w:val="009C5DA3"/>
    <w:rsid w:val="009D4A2D"/>
    <w:rsid w:val="009E6BDB"/>
    <w:rsid w:val="00A04441"/>
    <w:rsid w:val="00A04CFC"/>
    <w:rsid w:val="00A82B73"/>
    <w:rsid w:val="00A84D70"/>
    <w:rsid w:val="00A963FD"/>
    <w:rsid w:val="00AA537F"/>
    <w:rsid w:val="00B02CCE"/>
    <w:rsid w:val="00B05BB4"/>
    <w:rsid w:val="00B51664"/>
    <w:rsid w:val="00B5326C"/>
    <w:rsid w:val="00B6088F"/>
    <w:rsid w:val="00B631A4"/>
    <w:rsid w:val="00B82215"/>
    <w:rsid w:val="00BA103C"/>
    <w:rsid w:val="00BA576B"/>
    <w:rsid w:val="00BE6ABB"/>
    <w:rsid w:val="00BF051D"/>
    <w:rsid w:val="00C02314"/>
    <w:rsid w:val="00C038EB"/>
    <w:rsid w:val="00C06967"/>
    <w:rsid w:val="00C25487"/>
    <w:rsid w:val="00C3349E"/>
    <w:rsid w:val="00C41692"/>
    <w:rsid w:val="00C67F42"/>
    <w:rsid w:val="00C73EBF"/>
    <w:rsid w:val="00C749F1"/>
    <w:rsid w:val="00CA0F10"/>
    <w:rsid w:val="00CD429E"/>
    <w:rsid w:val="00CE39E5"/>
    <w:rsid w:val="00CF12B1"/>
    <w:rsid w:val="00D0032F"/>
    <w:rsid w:val="00D00F1D"/>
    <w:rsid w:val="00D11182"/>
    <w:rsid w:val="00D23ABC"/>
    <w:rsid w:val="00D562DE"/>
    <w:rsid w:val="00D70D2C"/>
    <w:rsid w:val="00D82E42"/>
    <w:rsid w:val="00D85DC2"/>
    <w:rsid w:val="00D8778E"/>
    <w:rsid w:val="00D926B9"/>
    <w:rsid w:val="00DA2910"/>
    <w:rsid w:val="00DD52EE"/>
    <w:rsid w:val="00DF2DAC"/>
    <w:rsid w:val="00DF30EA"/>
    <w:rsid w:val="00E35DD5"/>
    <w:rsid w:val="00E405B0"/>
    <w:rsid w:val="00E44212"/>
    <w:rsid w:val="00E776FC"/>
    <w:rsid w:val="00E80301"/>
    <w:rsid w:val="00EA19DA"/>
    <w:rsid w:val="00EB7867"/>
    <w:rsid w:val="00EE10EB"/>
    <w:rsid w:val="00F0041B"/>
    <w:rsid w:val="00F129C8"/>
    <w:rsid w:val="00F63EA9"/>
    <w:rsid w:val="00F643ED"/>
    <w:rsid w:val="00F746DC"/>
    <w:rsid w:val="00F81285"/>
    <w:rsid w:val="00F8334E"/>
    <w:rsid w:val="00F952D4"/>
    <w:rsid w:val="00FA158C"/>
    <w:rsid w:val="00FB56CF"/>
    <w:rsid w:val="00FD3AC8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F7289-F4DA-422E-9D5A-A2F9CFF5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justify">
    <w:name w:val="rtejustify"/>
    <w:basedOn w:val="Normalny"/>
    <w:rsid w:val="0067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A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D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B78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8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1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EB"/>
  </w:style>
  <w:style w:type="paragraph" w:styleId="Stopka">
    <w:name w:val="footer"/>
    <w:basedOn w:val="Normalny"/>
    <w:link w:val="StopkaZnak"/>
    <w:uiPriority w:val="99"/>
    <w:unhideWhenUsed/>
    <w:rsid w:val="00EE1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yprawaznaturaikultur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6090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A1204</dc:creator>
  <cp:lastModifiedBy>A1204</cp:lastModifiedBy>
  <cp:revision>2</cp:revision>
  <cp:lastPrinted>2018-08-14T07:44:00Z</cp:lastPrinted>
  <dcterms:created xsi:type="dcterms:W3CDTF">2018-09-05T09:52:00Z</dcterms:created>
  <dcterms:modified xsi:type="dcterms:W3CDTF">2018-09-05T09:52:00Z</dcterms:modified>
</cp:coreProperties>
</file>